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ind w:left="316" w:leftChars="100" w:right="316" w:rightChars="100"/>
        <w:jc w:val="right"/>
        <w:rPr>
          <w:rFonts w:eastAsia="仿宋" w:cs="Times New Roman"/>
          <w:szCs w:val="32"/>
        </w:rPr>
      </w:pPr>
      <w:bookmarkStart w:id="0" w:name="_Hlk3880723"/>
      <w:bookmarkStart w:id="1" w:name="_Hlk33518163"/>
      <w:bookmarkStart w:id="2" w:name="_Hlk31793459"/>
      <w:bookmarkStart w:id="3" w:name="_Hlk35849983"/>
      <w:bookmarkStart w:id="4" w:name="_Hlk33024981"/>
      <w:bookmarkStart w:id="5" w:name="_Hlk513129084"/>
      <w:bookmarkStart w:id="6" w:name="_Hlk26170232"/>
      <w:bookmarkStart w:id="7" w:name="_Hlk14854977"/>
      <w:bookmarkStart w:id="8" w:name="_Hlk35960646"/>
      <w:bookmarkStart w:id="9" w:name="_Hlk37230524"/>
      <w:bookmarkStart w:id="10" w:name="_Hlk38382020"/>
      <w:r>
        <w:rPr>
          <w:rFonts w:eastAsia="仿宋" w:cs="Times New Roman"/>
          <w:szCs w:val="32"/>
        </w:rPr>
        <mc:AlternateContent>
          <mc:Choice Requires="wpg">
            <w:drawing>
              <wp:anchor distT="0" distB="0" distL="114300" distR="114300" simplePos="0" relativeHeight="251658240" behindDoc="0" locked="0" layoutInCell="1" allowOverlap="1">
                <wp:simplePos x="0" y="0"/>
                <wp:positionH relativeFrom="column">
                  <wp:posOffset>10160</wp:posOffset>
                </wp:positionH>
                <wp:positionV relativeFrom="paragraph">
                  <wp:posOffset>-605155</wp:posOffset>
                </wp:positionV>
                <wp:extent cx="5670550" cy="8999855"/>
                <wp:effectExtent l="0" t="0" r="6350" b="10795"/>
                <wp:wrapNone/>
                <wp:docPr id="1" name="Group 6"/>
                <wp:cNvGraphicFramePr/>
                <a:graphic xmlns:a="http://schemas.openxmlformats.org/drawingml/2006/main">
                  <a:graphicData uri="http://schemas.microsoft.com/office/word/2010/wordprocessingGroup">
                    <wpg:wgp>
                      <wpg:cNvGrpSpPr/>
                      <wpg:grpSpPr>
                        <a:xfrm>
                          <a:off x="0" y="0"/>
                          <a:ext cx="5670550" cy="8999855"/>
                          <a:chOff x="1516" y="1128"/>
                          <a:chExt cx="8930" cy="14173"/>
                        </a:xfrm>
                      </wpg:grpSpPr>
                      <wps:wsp>
                        <wps:cNvPr id="2" name="直接连接符 3"/>
                        <wps:cNvCnPr>
                          <a:cxnSpLocks noChangeShapeType="1"/>
                        </wps:cNvCnPr>
                        <wps:spPr bwMode="auto">
                          <a:xfrm>
                            <a:off x="1516" y="15301"/>
                            <a:ext cx="8850" cy="0"/>
                          </a:xfrm>
                          <a:prstGeom prst="line">
                            <a:avLst/>
                          </a:prstGeom>
                          <a:noFill/>
                          <a:ln w="41275" cmpd="thinThick" algn="ctr">
                            <a:solidFill>
                              <a:srgbClr val="FF0000"/>
                            </a:solidFill>
                            <a:miter lim="800000"/>
                          </a:ln>
                        </wps:spPr>
                        <wps:bodyPr/>
                      </wps:wsp>
                      <wps:wsp>
                        <wps:cNvPr id="3" name="直接连接符 3"/>
                        <wps:cNvCnPr>
                          <a:cxnSpLocks noChangeShapeType="1"/>
                        </wps:cNvCnPr>
                        <wps:spPr bwMode="auto">
                          <a:xfrm>
                            <a:off x="1533" y="2364"/>
                            <a:ext cx="8850" cy="0"/>
                          </a:xfrm>
                          <a:prstGeom prst="line">
                            <a:avLst/>
                          </a:prstGeom>
                          <a:noFill/>
                          <a:ln w="41275" cmpd="thickThin" algn="ctr">
                            <a:solidFill>
                              <a:srgbClr val="FF0000"/>
                            </a:solidFill>
                            <a:miter lim="800000"/>
                          </a:ln>
                        </wps:spPr>
                        <wps:bodyPr/>
                      </wps:wsp>
                      <wps:wsp>
                        <wps:cNvPr id="4" name="Text Box 9"/>
                        <wps:cNvSpPr txBox="1">
                          <a:spLocks noChangeArrowheads="1"/>
                        </wps:cNvSpPr>
                        <wps:spPr bwMode="auto">
                          <a:xfrm>
                            <a:off x="1516" y="1128"/>
                            <a:ext cx="8930" cy="1190"/>
                          </a:xfrm>
                          <a:prstGeom prst="rect">
                            <a:avLst/>
                          </a:prstGeom>
                          <a:solidFill>
                            <a:srgbClr val="FFFFFF"/>
                          </a:solidFill>
                          <a:ln>
                            <a:noFill/>
                          </a:ln>
                        </wps:spPr>
                        <wps:txbx>
                          <w:txbxContent>
                            <w:p>
                              <w:pPr>
                                <w:snapToGrid w:val="0"/>
                                <w:jc w:val="center"/>
                                <w:rPr>
                                  <w:color w:val="FF0000"/>
                                  <w:spacing w:val="20"/>
                                  <w:w w:val="94"/>
                                  <w14:textOutline w14:w="9525" w14:cap="rnd" w14:cmpd="sng" w14:algn="ctr">
                                    <w14:solidFill>
                                      <w14:srgbClr w14:val="FF0000"/>
                                    </w14:solidFill>
                                    <w14:prstDash w14:val="solid"/>
                                    <w14:bevel/>
                                  </w14:textOutline>
                                </w:rPr>
                              </w:pPr>
                              <w:r>
                                <w:rPr>
                                  <w:rFonts w:hint="eastAsia" w:ascii="方正小标宋简体" w:eastAsia="方正小标宋简体"/>
                                  <w:color w:val="FF0000"/>
                                  <w:spacing w:val="20"/>
                                  <w:w w:val="94"/>
                                  <w:sz w:val="84"/>
                                  <w:szCs w:val="84"/>
                                  <w14:textOutline w14:w="9525" w14:cap="rnd" w14:cmpd="sng" w14:algn="ctr">
                                    <w14:solidFill>
                                      <w14:srgbClr w14:val="FF0000"/>
                                    </w14:solidFill>
                                    <w14:prstDash w14:val="solid"/>
                                    <w14:bevel/>
                                  </w14:textOutline>
                                </w:rPr>
                                <w:t>泸州职业教育研究中心</w:t>
                              </w:r>
                            </w:p>
                          </w:txbxContent>
                        </wps:txbx>
                        <wps:bodyPr rot="0" vert="horz" wrap="square" lIns="91440" tIns="45720" rIns="91440" bIns="45720" anchor="t" anchorCtr="0" upright="1">
                          <a:noAutofit/>
                        </wps:bodyPr>
                      </wps:wsp>
                    </wpg:wgp>
                  </a:graphicData>
                </a:graphic>
              </wp:anchor>
            </w:drawing>
          </mc:Choice>
          <mc:Fallback>
            <w:pict>
              <v:group id="Group 6" o:spid="_x0000_s1026" o:spt="203" style="position:absolute;left:0pt;margin-left:0.8pt;margin-top:-47.65pt;height:708.65pt;width:446.5pt;z-index:251658240;mso-width-relative:page;mso-height-relative:page;" coordorigin="1516,1128" coordsize="8930,14173" o:gfxdata="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">
                <o:lock v:ext="edit" aspectratio="f"/>
                <v:line id="直接连接符 3" o:spid="_x0000_s1026" o:spt="20" style="position:absolute;left:1516;top:15301;height:0;width:8850;" filled="f" stroked="t" coordsize="21600,21600" o:gfxdata="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mriHugAAANoA&#10;AAAPAAAAAAAAAAEAIAAAACIAAABkcnMvZG93bnJldi54bWxQSwECFAAUAAAACACHTuJAMy8FnjsA&#10;AAA5AAAAEAAAAAAAAAABACAAAAAJAQAAZHJzL3NoYXBleG1sLnhtbFBLBQYAAAAABgAGAFsBAACz&#10;AwAAAAA=&#10;">
                  <v:fill on="f" focussize="0,0"/>
                  <v:stroke weight="3.25pt" color="#FF0000" linestyle="thinThick" miterlimit="8" joinstyle="miter"/>
                  <v:imagedata o:title=""/>
                  <o:lock v:ext="edit" aspectratio="f"/>
                </v:line>
                <v:line id="_x0000_s1026" o:spid="_x0000_s1026" o:spt="20" style="position:absolute;left:1533;top:2364;height:0;width:8850;" filled="f" stroked="t" coordsize="21600,21600" o:gfxdata="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AoZb4A&#10;AADaAAAADwAAAAAAAAABACAAAAAiAAAAZHJzL2Rvd25yZXYueG1sUEsBAhQAFAAAAAgAh07iQDMv&#10;BZ47AAAAOQAAABAAAAAAAAAAAQAgAAAADQEAAGRycy9zaGFwZXhtbC54bWxQSwUGAAAAAAYABgBb&#10;AQAAtwMAAAAA&#10;">
                  <v:fill on="f" focussize="0,0"/>
                  <v:stroke weight="3.25pt" color="#FF0000" linestyle="thickThin" miterlimit="8" joinstyle="miter"/>
                  <v:imagedata o:title=""/>
                  <o:lock v:ext="edit" aspectratio="f"/>
                </v:line>
                <v:shape id="Text Box 9" o:spid="_x0000_s1026" o:spt="202" type="#_x0000_t202" style="position:absolute;left:1516;top:1128;height:1190;width:8930;" fillcolor="#FFFFFF" filled="t" stroked="f" coordsize="21600,21600" o:gfxdata="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EvoEtwAAANoAAAAP&#10;AAAAAAAAAAEAIAAAACIAAABkcnMvZG93bnJldi54bWxQSwECFAAUAAAACACHTuJAMy8FnjsAAAA5&#10;AAAAEAAAAAAAAAABACAAAAAGAQAAZHJzL3NoYXBleG1sLnhtbFBLBQYAAAAABgAGAFsBAACwAwAA&#10;AAA=&#10;">
                  <v:fill on="t" focussize="0,0"/>
                  <v:stroke on="f"/>
                  <v:imagedata o:title=""/>
                  <o:lock v:ext="edit" aspectratio="f"/>
                  <v:textbox>
                    <w:txbxContent>
                      <w:p>
                        <w:pPr>
                          <w:snapToGrid w:val="0"/>
                          <w:jc w:val="center"/>
                          <w:rPr>
                            <w:color w:val="FF0000"/>
                            <w:spacing w:val="20"/>
                            <w:w w:val="94"/>
                            <w14:textOutline w14:w="9525" w14:cap="rnd" w14:cmpd="sng" w14:algn="ctr">
                              <w14:solidFill>
                                <w14:srgbClr w14:val="FF0000"/>
                              </w14:solidFill>
                              <w14:prstDash w14:val="solid"/>
                              <w14:bevel/>
                            </w14:textOutline>
                          </w:rPr>
                        </w:pPr>
                        <w:r>
                          <w:rPr>
                            <w:rFonts w:hint="eastAsia" w:ascii="方正小标宋简体" w:eastAsia="方正小标宋简体"/>
                            <w:color w:val="FF0000"/>
                            <w:spacing w:val="20"/>
                            <w:w w:val="94"/>
                            <w:sz w:val="84"/>
                            <w:szCs w:val="84"/>
                            <w14:textOutline w14:w="9525" w14:cap="rnd" w14:cmpd="sng" w14:algn="ctr">
                              <w14:solidFill>
                                <w14:srgbClr w14:val="FF0000"/>
                              </w14:solidFill>
                              <w14:prstDash w14:val="solid"/>
                              <w14:bevel/>
                            </w14:textOutline>
                          </w:rPr>
                          <w:t>泸州职业教育研究中心</w:t>
                        </w:r>
                      </w:p>
                    </w:txbxContent>
                  </v:textbox>
                </v:shape>
              </v:group>
            </w:pict>
          </mc:Fallback>
        </mc:AlternateContent>
      </w:r>
    </w:p>
    <w:p>
      <w:pPr>
        <w:snapToGrid w:val="0"/>
        <w:ind w:left="316" w:leftChars="100" w:right="50" w:rightChars="16"/>
        <w:jc w:val="right"/>
        <w:rPr>
          <w:rFonts w:eastAsia="仿宋" w:cs="Times New Roman"/>
          <w:sz w:val="50"/>
          <w:szCs w:val="50"/>
        </w:rPr>
      </w:pPr>
      <w:r>
        <w:rPr>
          <w:rFonts w:eastAsia="仿宋" w:cs="Times New Roman"/>
          <w:szCs w:val="32"/>
        </w:rPr>
        <w:t>泸职</w:t>
      </w:r>
      <w:r>
        <w:rPr>
          <w:rFonts w:hint="eastAsia" w:eastAsia="仿宋" w:cs="Times New Roman"/>
          <w:szCs w:val="32"/>
        </w:rPr>
        <w:t>教研</w:t>
      </w:r>
      <w:r>
        <w:rPr>
          <w:rFonts w:eastAsia="仿宋_GB2312" w:cs="Times New Roman"/>
          <w:szCs w:val="32"/>
        </w:rPr>
        <w:t>〔</w:t>
      </w:r>
      <w:r>
        <w:rPr>
          <w:rFonts w:eastAsia="仿宋" w:cs="Times New Roman"/>
          <w:szCs w:val="32"/>
        </w:rPr>
        <w:t>2020</w:t>
      </w:r>
      <w:r>
        <w:rPr>
          <w:rFonts w:eastAsia="仿宋_GB2312" w:cs="Times New Roman"/>
          <w:szCs w:val="32"/>
        </w:rPr>
        <w:t>〕4</w:t>
      </w:r>
      <w:r>
        <w:rPr>
          <w:rFonts w:eastAsia="仿宋" w:cs="Times New Roman"/>
          <w:szCs w:val="32"/>
        </w:rPr>
        <w:t>号</w:t>
      </w:r>
    </w:p>
    <w:bookmarkEnd w:id="0"/>
    <w:p>
      <w:pPr>
        <w:spacing w:line="492" w:lineRule="exact"/>
        <w:ind w:firstLine="632" w:firstLineChars="200"/>
        <w:contextualSpacing/>
        <w:jc w:val="left"/>
        <w:rPr>
          <w:rFonts w:eastAsia="仿宋" w:cs="Times New Roman"/>
          <w:szCs w:val="32"/>
        </w:rPr>
      </w:pPr>
    </w:p>
    <w:p>
      <w:pPr>
        <w:spacing w:line="492" w:lineRule="exact"/>
        <w:ind w:firstLine="632" w:firstLineChars="200"/>
        <w:contextualSpacing/>
        <w:jc w:val="left"/>
        <w:rPr>
          <w:rFonts w:eastAsia="仿宋" w:cs="Times New Roman"/>
          <w:szCs w:val="32"/>
        </w:rPr>
      </w:pPr>
    </w:p>
    <w:p>
      <w:pPr>
        <w:spacing w:line="512" w:lineRule="exact"/>
        <w:contextualSpacing/>
        <w:jc w:val="center"/>
        <w:rPr>
          <w:rFonts w:eastAsia="方正小标宋简体" w:cs="Times New Roman"/>
          <w:color w:val="000000"/>
          <w:sz w:val="44"/>
          <w:szCs w:val="44"/>
        </w:rPr>
      </w:pPr>
      <w:r>
        <w:rPr>
          <w:rFonts w:hint="eastAsia" w:eastAsia="方正小标宋简体" w:cs="Times New Roman"/>
          <w:color w:val="000000"/>
          <w:sz w:val="44"/>
          <w:szCs w:val="44"/>
        </w:rPr>
        <w:t>泸州职业教育研究中心</w:t>
      </w:r>
    </w:p>
    <w:p>
      <w:pPr>
        <w:spacing w:line="512" w:lineRule="exact"/>
        <w:contextualSpacing/>
        <w:jc w:val="center"/>
        <w:rPr>
          <w:rFonts w:eastAsia="方正小标宋简体" w:cs="Times New Roman"/>
          <w:color w:val="000000"/>
          <w:spacing w:val="-6"/>
          <w:sz w:val="44"/>
          <w:szCs w:val="44"/>
        </w:rPr>
      </w:pPr>
      <w:r>
        <w:rPr>
          <w:rFonts w:hint="eastAsia" w:eastAsia="方正小标宋简体" w:cs="Times New Roman"/>
          <w:color w:val="000000"/>
          <w:spacing w:val="-6"/>
          <w:sz w:val="44"/>
          <w:szCs w:val="44"/>
        </w:rPr>
        <w:t>关于发布《2021年泸州职业教育研究指南》的</w:t>
      </w:r>
    </w:p>
    <w:p>
      <w:pPr>
        <w:spacing w:line="512" w:lineRule="exact"/>
        <w:contextualSpacing/>
        <w:jc w:val="center"/>
        <w:rPr>
          <w:rFonts w:eastAsia="方正小标宋简体" w:cs="Times New Roman"/>
          <w:color w:val="000000"/>
          <w:sz w:val="44"/>
          <w:szCs w:val="44"/>
        </w:rPr>
      </w:pPr>
      <w:r>
        <w:rPr>
          <w:rFonts w:hint="eastAsia" w:eastAsia="方正小标宋简体" w:cs="Times New Roman"/>
          <w:color w:val="000000"/>
          <w:sz w:val="44"/>
          <w:szCs w:val="44"/>
        </w:rPr>
        <w:t xml:space="preserve">通 </w:t>
      </w:r>
      <w:r>
        <w:rPr>
          <w:rFonts w:eastAsia="方正小标宋简体" w:cs="Times New Roman"/>
          <w:color w:val="000000"/>
          <w:sz w:val="44"/>
          <w:szCs w:val="44"/>
        </w:rPr>
        <w:t xml:space="preserve"> </w:t>
      </w:r>
      <w:r>
        <w:rPr>
          <w:rFonts w:hint="eastAsia" w:eastAsia="方正小标宋简体" w:cs="Times New Roman"/>
          <w:color w:val="000000"/>
          <w:sz w:val="44"/>
          <w:szCs w:val="44"/>
        </w:rPr>
        <w:t>知</w:t>
      </w:r>
    </w:p>
    <w:p>
      <w:pPr>
        <w:spacing w:line="512" w:lineRule="exact"/>
        <w:contextualSpacing/>
        <w:rPr>
          <w:rFonts w:eastAsia="仿宋_GB2312" w:cs="Times New Roman"/>
          <w:color w:val="000000"/>
          <w:spacing w:val="10"/>
          <w:szCs w:val="32"/>
        </w:rPr>
      </w:pPr>
    </w:p>
    <w:p>
      <w:pPr>
        <w:spacing w:line="512" w:lineRule="exact"/>
        <w:contextualSpacing/>
        <w:rPr>
          <w:rFonts w:eastAsia="仿宋_GB2312" w:cs="Times New Roman"/>
          <w:szCs w:val="32"/>
        </w:rPr>
      </w:pPr>
      <w:r>
        <w:rPr>
          <w:rFonts w:hint="eastAsia" w:eastAsia="仿宋_GB2312" w:cs="Times New Roman"/>
          <w:szCs w:val="32"/>
        </w:rPr>
        <w:t>各职业院校：</w:t>
      </w:r>
    </w:p>
    <w:p>
      <w:pPr>
        <w:spacing w:line="512" w:lineRule="exact"/>
        <w:ind w:firstLine="632" w:firstLineChars="200"/>
        <w:contextualSpacing/>
        <w:rPr>
          <w:rFonts w:eastAsia="仿宋_GB2312" w:cs="Times New Roman"/>
          <w:szCs w:val="32"/>
        </w:rPr>
      </w:pPr>
      <w:r>
        <w:rPr>
          <w:rFonts w:hint="eastAsia" w:eastAsia="仿宋_GB2312" w:cs="Times New Roman"/>
          <w:szCs w:val="32"/>
        </w:rPr>
        <w:t>为贯彻中国共产党第十九次全国代表大会报告关于职业教育重要论述和《国务院关于印发国家职业教育改革实施方案的通知 》(国发〔2019〕4号)的精神，充分发挥职业教育研究的理论创新和实践探索作用，促进区域中、高职职业教育协调发展。泸州职业教育研究中心（以下简称中心）在深入研究国家职业教育政策和广泛征集各方意见的基础上，面向泸州市职业教育领域发布《2021年泸州职业教育研究指南》，并启动2021年科研项目申报工作，现将有关事宜通知如下：</w:t>
      </w:r>
    </w:p>
    <w:p>
      <w:pPr>
        <w:spacing w:line="512" w:lineRule="exact"/>
        <w:ind w:firstLine="632" w:firstLineChars="200"/>
        <w:contextualSpacing/>
        <w:rPr>
          <w:rFonts w:eastAsia="仿宋_GB2312" w:cs="Times New Roman"/>
          <w:szCs w:val="32"/>
        </w:rPr>
      </w:pPr>
      <w:r>
        <w:rPr>
          <w:rFonts w:hint="eastAsia" w:eastAsia="仿宋_GB2312" w:cs="Times New Roman"/>
          <w:szCs w:val="32"/>
        </w:rPr>
        <w:t>一、中心2021年科研项目设重点研究课题和一般研究课题两种类别。中心将按照《泸州职业教育研究中心科研项目管理办法》规定程序对申报项目进行评审，并确定立项项目。</w:t>
      </w:r>
    </w:p>
    <w:p>
      <w:pPr>
        <w:spacing w:line="512" w:lineRule="exact"/>
        <w:ind w:firstLine="632" w:firstLineChars="200"/>
        <w:contextualSpacing/>
        <w:rPr>
          <w:rFonts w:eastAsia="仿宋_GB2312" w:cs="Times New Roman"/>
          <w:szCs w:val="32"/>
        </w:rPr>
      </w:pPr>
      <w:r>
        <w:rPr>
          <w:rFonts w:hint="eastAsia" w:eastAsia="仿宋_GB2312" w:cs="Times New Roman"/>
          <w:szCs w:val="32"/>
        </w:rPr>
        <w:t>二、2021年研究指南主要体现导向性、战略性设计思想，项目设置相对宏观。项目申报者可进行深入挖掘，根据自己的工作实际与研究基础自行确定项目题目。</w:t>
      </w:r>
    </w:p>
    <w:p>
      <w:pPr>
        <w:spacing w:line="512" w:lineRule="exact"/>
        <w:ind w:firstLine="632" w:firstLineChars="200"/>
        <w:contextualSpacing/>
        <w:rPr>
          <w:rFonts w:eastAsia="仿宋_GB2312" w:cs="Times New Roman"/>
          <w:szCs w:val="32"/>
        </w:rPr>
      </w:pPr>
      <w:r>
        <w:rPr>
          <w:rFonts w:hint="eastAsia" w:eastAsia="仿宋_GB2312" w:cs="Times New Roman"/>
          <w:szCs w:val="32"/>
        </w:rPr>
        <w:t>三、中心鼓励科研能力强且具有组织协调能力的项目负责人组建跨校联合科研团队申报课题。</w:t>
      </w:r>
    </w:p>
    <w:p>
      <w:pPr>
        <w:spacing w:line="512" w:lineRule="exact"/>
        <w:ind w:firstLine="632" w:firstLineChars="200"/>
        <w:contextualSpacing/>
        <w:rPr>
          <w:rFonts w:eastAsia="仿宋_GB2312" w:cs="Times New Roman"/>
          <w:szCs w:val="32"/>
        </w:rPr>
      </w:pPr>
      <w:r>
        <w:rPr>
          <w:rFonts w:hint="eastAsia" w:eastAsia="仿宋_GB2312" w:cs="Times New Roman"/>
          <w:szCs w:val="32"/>
        </w:rPr>
        <w:t>四、中心项目研究周期为一年至二年。项目负责人每年只能主持一个项目，且不能作为项目组成员参与中心其他项目。此前已获中心立项，但尚未结题的项目负责人不得在本年度再作为项目负责人申报。同一课题此前已在其他机构获准立项的，不得申报中心课题。</w:t>
      </w:r>
    </w:p>
    <w:p>
      <w:pPr>
        <w:spacing w:line="512" w:lineRule="exact"/>
        <w:ind w:firstLine="632" w:firstLineChars="200"/>
        <w:contextualSpacing/>
        <w:rPr>
          <w:rFonts w:eastAsia="仿宋_GB2312" w:cs="Times New Roman"/>
          <w:szCs w:val="32"/>
        </w:rPr>
      </w:pPr>
      <w:r>
        <w:rPr>
          <w:rFonts w:hint="eastAsia" w:eastAsia="仿宋_GB2312" w:cs="Times New Roman"/>
          <w:szCs w:val="32"/>
        </w:rPr>
        <w:t>五、请各有关院校、研究机构加强对2021年泸州职业教育研究课题申报的宣传、组织，对申报书所有栏目填写的内容进行审核，并签署书面意见。申报项目经所在单位审查盖章后报送泸州职业教育研究中心。中心不受理个人直接申报。</w:t>
      </w:r>
    </w:p>
    <w:p>
      <w:pPr>
        <w:spacing w:line="512" w:lineRule="exact"/>
        <w:ind w:firstLine="632" w:firstLineChars="200"/>
        <w:contextualSpacing/>
        <w:rPr>
          <w:rFonts w:eastAsia="仿宋_GB2312" w:cs="Times New Roman"/>
          <w:szCs w:val="32"/>
        </w:rPr>
      </w:pPr>
      <w:r>
        <w:rPr>
          <w:rFonts w:hint="eastAsia" w:eastAsia="仿宋_GB2312" w:cs="Times New Roman"/>
          <w:szCs w:val="32"/>
        </w:rPr>
        <w:t>六、项目申报时限从即日起至2020年12月30日，过期将不接受申报。在申报时限内，申报单位将申报书电子文稿和纸质文稿2份（A4纸印制，左侧装订）发至泸州职业教育研究中心。</w:t>
      </w:r>
    </w:p>
    <w:p>
      <w:pPr>
        <w:spacing w:line="512" w:lineRule="exact"/>
        <w:ind w:firstLine="632" w:firstLineChars="200"/>
        <w:contextualSpacing/>
        <w:rPr>
          <w:rFonts w:eastAsia="仿宋_GB2312" w:cs="Times New Roman"/>
          <w:szCs w:val="32"/>
        </w:rPr>
      </w:pPr>
      <w:r>
        <w:rPr>
          <w:rFonts w:hint="eastAsia" w:eastAsia="仿宋_GB2312" w:cs="Times New Roman"/>
          <w:szCs w:val="32"/>
        </w:rPr>
        <w:t>泸州职业教育研究中心地址：泸州市龙马潭区长桥路2号泸州职业技术学院。</w:t>
      </w:r>
    </w:p>
    <w:p>
      <w:pPr>
        <w:spacing w:line="512" w:lineRule="exact"/>
        <w:ind w:firstLine="632" w:firstLineChars="200"/>
        <w:contextualSpacing/>
        <w:rPr>
          <w:rFonts w:eastAsia="仿宋_GB2312" w:cs="Times New Roman"/>
          <w:szCs w:val="32"/>
        </w:rPr>
      </w:pPr>
      <w:r>
        <w:rPr>
          <w:rFonts w:hint="eastAsia" w:eastAsia="仿宋_GB2312" w:cs="Times New Roman"/>
          <w:szCs w:val="32"/>
        </w:rPr>
        <w:t>邮政编码：646000，联系人：温济川，电话：0830-3150567，电子邮箱：695388043@qq.com</w:t>
      </w:r>
    </w:p>
    <w:p>
      <w:pPr>
        <w:spacing w:line="512" w:lineRule="exact"/>
        <w:ind w:firstLine="632" w:firstLineChars="200"/>
        <w:contextualSpacing/>
        <w:rPr>
          <w:rFonts w:eastAsia="仿宋_GB2312" w:cs="Times New Roman"/>
          <w:szCs w:val="32"/>
        </w:rPr>
      </w:pPr>
      <w:r>
        <w:rPr>
          <w:rFonts w:hint="eastAsia" w:eastAsia="仿宋_GB2312" w:cs="Times New Roman"/>
          <w:szCs w:val="32"/>
        </w:rPr>
        <w:t>七、项目申报所需《2021年泸州职业教育研究指南》、《泸州职业教育研究中心科研项目申报书》等材料在中心网站下载（网址http://www.lzy.edu.cn）或泸州职成教QQ群共享空间下载。</w:t>
      </w:r>
    </w:p>
    <w:p>
      <w:pPr>
        <w:spacing w:line="512" w:lineRule="exact"/>
        <w:ind w:firstLine="632" w:firstLineChars="200"/>
        <w:contextualSpacing/>
        <w:rPr>
          <w:rFonts w:eastAsia="仿宋_GB2312" w:cs="Times New Roman"/>
          <w:szCs w:val="32"/>
        </w:rPr>
      </w:pPr>
      <w:r>
        <w:rPr>
          <w:rFonts w:hint="eastAsia" w:eastAsia="仿宋_GB2312" w:cs="Times New Roman"/>
          <w:szCs w:val="32"/>
        </w:rPr>
        <w:t>特此通知。</w:t>
      </w:r>
    </w:p>
    <w:p>
      <w:pPr>
        <w:spacing w:line="512" w:lineRule="exact"/>
        <w:contextualSpacing/>
        <w:rPr>
          <w:rFonts w:eastAsia="仿宋_GB2312" w:cs="Times New Roman"/>
          <w:szCs w:val="32"/>
        </w:rPr>
      </w:pPr>
      <w:r>
        <w:rPr>
          <w:rFonts w:eastAsia="仿宋_GB2312" w:cs="Times New Roman"/>
          <w:color w:val="000000"/>
          <w:spacing w:val="10"/>
          <w:szCs w:val="32"/>
        </w:rPr>
        <w:drawing>
          <wp:anchor distT="0" distB="0" distL="114300" distR="114300" simplePos="0" relativeHeight="251659264" behindDoc="1" locked="0" layoutInCell="1" allowOverlap="1">
            <wp:simplePos x="0" y="0"/>
            <wp:positionH relativeFrom="column">
              <wp:posOffset>3438525</wp:posOffset>
            </wp:positionH>
            <wp:positionV relativeFrom="paragraph">
              <wp:posOffset>100965</wp:posOffset>
            </wp:positionV>
            <wp:extent cx="1569720" cy="1549400"/>
            <wp:effectExtent l="0" t="0" r="0" b="0"/>
            <wp:wrapNone/>
            <wp:docPr id="6" name="图片 6" descr="职业教育研究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职业教育研究中心"/>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69720" cy="1549400"/>
                    </a:xfrm>
                    <a:prstGeom prst="rect">
                      <a:avLst/>
                    </a:prstGeom>
                    <a:noFill/>
                    <a:ln>
                      <a:noFill/>
                    </a:ln>
                  </pic:spPr>
                </pic:pic>
              </a:graphicData>
            </a:graphic>
          </wp:anchor>
        </w:drawing>
      </w:r>
    </w:p>
    <w:p>
      <w:pPr>
        <w:spacing w:line="512" w:lineRule="exact"/>
        <w:contextualSpacing/>
        <w:rPr>
          <w:rFonts w:eastAsia="仿宋_GB2312" w:cs="Times New Roman"/>
          <w:szCs w:val="32"/>
        </w:rPr>
      </w:pPr>
    </w:p>
    <w:p>
      <w:pPr>
        <w:spacing w:line="512" w:lineRule="exact"/>
        <w:contextualSpacing/>
        <w:rPr>
          <w:rFonts w:eastAsia="仿宋_GB2312" w:cs="Times New Roman"/>
          <w:szCs w:val="32"/>
        </w:rPr>
      </w:pPr>
    </w:p>
    <w:p>
      <w:pPr>
        <w:spacing w:line="512" w:lineRule="exact"/>
        <w:ind w:right="632" w:rightChars="200"/>
        <w:contextualSpacing/>
        <w:jc w:val="right"/>
        <w:rPr>
          <w:szCs w:val="32"/>
        </w:rPr>
      </w:pP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r>
        <w:rPr>
          <w:rFonts w:eastAsia="仿宋_GB2312" w:cs="Times New Roman"/>
          <w:szCs w:val="32"/>
        </w:rPr>
        <w:tab/>
      </w:r>
      <w:bookmarkEnd w:id="1"/>
      <w:bookmarkEnd w:id="2"/>
      <w:bookmarkEnd w:id="3"/>
      <w:bookmarkEnd w:id="4"/>
      <w:bookmarkEnd w:id="5"/>
      <w:bookmarkEnd w:id="6"/>
      <w:bookmarkEnd w:id="7"/>
      <w:r>
        <w:rPr>
          <w:rFonts w:eastAsia="仿宋_GB2312" w:cs="Times New Roman"/>
          <w:szCs w:val="32"/>
        </w:rPr>
        <w:t xml:space="preserve"> </w:t>
      </w:r>
      <w:r>
        <w:rPr>
          <w:rFonts w:hint="eastAsia"/>
          <w:szCs w:val="32"/>
        </w:rPr>
        <w:t>泸州职业教育研究中心</w:t>
      </w:r>
    </w:p>
    <w:bookmarkEnd w:id="8"/>
    <w:bookmarkEnd w:id="9"/>
    <w:p>
      <w:pPr>
        <w:spacing w:line="512" w:lineRule="exact"/>
        <w:ind w:right="903" w:rightChars="286"/>
        <w:contextualSpacing/>
        <w:jc w:val="right"/>
        <w:rPr>
          <w:rFonts w:eastAsia="仿宋_GB2312" w:cs="Times New Roman"/>
          <w:szCs w:val="32"/>
        </w:rPr>
      </w:pPr>
      <w:r>
        <w:rPr>
          <w:rFonts w:hint="eastAsia" w:eastAsia="仿宋_GB2312" w:cs="Times New Roman"/>
          <w:szCs w:val="32"/>
        </w:rPr>
        <w:t>2020年</w:t>
      </w:r>
      <w:r>
        <w:rPr>
          <w:rFonts w:eastAsia="仿宋_GB2312" w:cs="Times New Roman"/>
          <w:szCs w:val="32"/>
        </w:rPr>
        <w:t>11</w:t>
      </w:r>
      <w:r>
        <w:rPr>
          <w:rFonts w:hint="eastAsia" w:eastAsia="仿宋_GB2312" w:cs="Times New Roman"/>
          <w:szCs w:val="32"/>
        </w:rPr>
        <w:t>月2</w:t>
      </w:r>
      <w:r>
        <w:rPr>
          <w:rFonts w:eastAsia="仿宋_GB2312" w:cs="Times New Roman"/>
          <w:szCs w:val="32"/>
        </w:rPr>
        <w:t>0</w:t>
      </w:r>
      <w:r>
        <w:rPr>
          <w:rFonts w:hint="eastAsia" w:eastAsia="仿宋_GB2312" w:cs="Times New Roman"/>
          <w:szCs w:val="32"/>
        </w:rPr>
        <w:t>日</w:t>
      </w:r>
    </w:p>
    <w:p>
      <w:pPr>
        <w:spacing w:line="512" w:lineRule="exact"/>
        <w:ind w:right="50" w:rightChars="16"/>
        <w:contextualSpacing/>
        <w:jc w:val="center"/>
        <w:rPr>
          <w:rFonts w:ascii="方正小标宋简体" w:hAnsi="仿宋_GB2312" w:eastAsia="方正小标宋简体" w:cs="仿宋_GB2312"/>
          <w:spacing w:val="10"/>
          <w:sz w:val="44"/>
          <w:szCs w:val="44"/>
        </w:rPr>
      </w:pPr>
      <w:r>
        <w:rPr>
          <w:rFonts w:hint="eastAsia" w:ascii="方正小标宋简体" w:hAnsi="仿宋_GB2312" w:eastAsia="方正小标宋简体" w:cs="仿宋_GB2312"/>
          <w:spacing w:val="10"/>
          <w:sz w:val="44"/>
          <w:szCs w:val="44"/>
        </w:rPr>
        <w:t>2021年泸州职业教育研究指南</w:t>
      </w:r>
    </w:p>
    <w:p>
      <w:pPr>
        <w:tabs>
          <w:tab w:val="left" w:pos="2101"/>
        </w:tabs>
        <w:spacing w:line="560" w:lineRule="exact"/>
        <w:contextualSpacing/>
        <w:jc w:val="center"/>
        <w:rPr>
          <w:rFonts w:ascii="方正小标宋简体" w:hAnsi="仿宋_GB2312" w:eastAsia="方正小标宋简体" w:cs="仿宋_GB2312"/>
          <w:spacing w:val="10"/>
          <w:szCs w:val="32"/>
        </w:rPr>
      </w:pP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hint="eastAsia" w:ascii="黑体" w:hAnsi="黑体" w:eastAsia="黑体"/>
        </w:rPr>
        <w:t>职业教育政策研究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职业教育政策价值取向研究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职业教育政策工具研究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职业教育政策效能研究</w:t>
      </w:r>
    </w:p>
    <w:p>
      <w:pPr>
        <w:widowControl/>
        <w:numPr>
          <w:ilvl w:val="0"/>
          <w:numId w:val="2"/>
        </w:numPr>
        <w:tabs>
          <w:tab w:val="left" w:pos="993"/>
        </w:tabs>
        <w:spacing w:line="560" w:lineRule="exact"/>
        <w:ind w:firstLine="632" w:firstLineChars="200"/>
        <w:contextualSpacing/>
        <w:rPr>
          <w:szCs w:val="32"/>
        </w:rPr>
      </w:pPr>
      <w:r>
        <w:rPr>
          <w:rFonts w:hint="eastAsia" w:eastAsia="仿宋"/>
          <w:szCs w:val="32"/>
        </w:rPr>
        <w:t>职业教育“十四五”规划研究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hint="eastAsia" w:ascii="黑体" w:hAnsi="黑体" w:eastAsia="黑体"/>
        </w:rPr>
        <w:t>职业学校</w:t>
      </w:r>
      <w:r>
        <w:rPr>
          <w:rFonts w:ascii="黑体" w:hAnsi="黑体" w:eastAsia="黑体"/>
        </w:rPr>
        <w:t>党建</w:t>
      </w:r>
      <w:r>
        <w:rPr>
          <w:rFonts w:hint="eastAsia" w:ascii="黑体" w:hAnsi="黑体" w:eastAsia="黑体"/>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职业学校思想政治工作研究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职业教育课程思政研究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职业学校基层党组织建设研究</w:t>
      </w:r>
      <w:bookmarkStart w:id="11" w:name="ref_[4]_23962724"/>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ascii="黑体" w:hAnsi="黑体" w:eastAsia="黑体"/>
        </w:rPr>
        <w:t>技术技能人才培养</w:t>
      </w:r>
      <w:r>
        <w:rPr>
          <w:rFonts w:hint="eastAsia" w:ascii="黑体" w:hAnsi="黑体" w:eastAsia="黑体"/>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职业教育“1+X”证书制度建设研究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本科层次职业教育探索研究</w:t>
      </w:r>
    </w:p>
    <w:p>
      <w:pPr>
        <w:widowControl/>
        <w:numPr>
          <w:ilvl w:val="0"/>
          <w:numId w:val="2"/>
        </w:numPr>
        <w:tabs>
          <w:tab w:val="left" w:pos="993"/>
        </w:tabs>
        <w:spacing w:line="560" w:lineRule="exact"/>
        <w:ind w:firstLine="632" w:firstLineChars="200"/>
        <w:contextualSpacing/>
        <w:rPr>
          <w:rFonts w:eastAsia="仿宋"/>
          <w:szCs w:val="32"/>
        </w:rPr>
      </w:pPr>
      <w:r>
        <w:rPr>
          <w:rFonts w:hint="eastAsia"/>
          <w:szCs w:val="32"/>
        </w:rPr>
        <w:t>职业教育专业、课程教学标准建设研究</w:t>
      </w:r>
    </w:p>
    <w:p>
      <w:pPr>
        <w:widowControl/>
        <w:numPr>
          <w:ilvl w:val="0"/>
          <w:numId w:val="2"/>
        </w:numPr>
        <w:tabs>
          <w:tab w:val="left" w:pos="993"/>
        </w:tabs>
        <w:spacing w:line="560" w:lineRule="exact"/>
        <w:ind w:firstLine="632" w:firstLineChars="200"/>
        <w:contextualSpacing/>
        <w:rPr>
          <w:rFonts w:eastAsia="仿宋"/>
          <w:szCs w:val="32"/>
        </w:rPr>
      </w:pPr>
      <w:r>
        <w:rPr>
          <w:rFonts w:hint="eastAsia"/>
          <w:szCs w:val="32"/>
        </w:rPr>
        <w:t>职业教育学习成果的认定、积累和转换研究</w:t>
      </w:r>
    </w:p>
    <w:p>
      <w:pPr>
        <w:widowControl/>
        <w:numPr>
          <w:ilvl w:val="0"/>
          <w:numId w:val="2"/>
        </w:numPr>
        <w:tabs>
          <w:tab w:val="left" w:pos="993"/>
        </w:tabs>
        <w:spacing w:line="560" w:lineRule="exact"/>
        <w:ind w:firstLine="632" w:firstLineChars="200"/>
        <w:contextualSpacing/>
        <w:rPr>
          <w:szCs w:val="32"/>
        </w:rPr>
      </w:pPr>
      <w:r>
        <w:rPr>
          <w:rFonts w:hint="eastAsia"/>
          <w:szCs w:val="32"/>
        </w:rPr>
        <w:t>“专”“本”教育衔接研究</w:t>
      </w:r>
    </w:p>
    <w:p>
      <w:pPr>
        <w:widowControl/>
        <w:numPr>
          <w:ilvl w:val="0"/>
          <w:numId w:val="2"/>
        </w:numPr>
        <w:tabs>
          <w:tab w:val="left" w:pos="993"/>
        </w:tabs>
        <w:spacing w:line="560" w:lineRule="exact"/>
        <w:ind w:firstLine="632" w:firstLineChars="200"/>
        <w:contextualSpacing/>
        <w:rPr>
          <w:szCs w:val="32"/>
        </w:rPr>
      </w:pPr>
      <w:r>
        <w:rPr>
          <w:rFonts w:hint="eastAsia"/>
          <w:szCs w:val="32"/>
        </w:rPr>
        <w:t>工匠精神培养研究</w:t>
      </w:r>
    </w:p>
    <w:p>
      <w:pPr>
        <w:widowControl/>
        <w:numPr>
          <w:ilvl w:val="0"/>
          <w:numId w:val="2"/>
        </w:numPr>
        <w:tabs>
          <w:tab w:val="left" w:pos="993"/>
        </w:tabs>
        <w:spacing w:line="560" w:lineRule="exact"/>
        <w:ind w:firstLine="632" w:firstLineChars="200"/>
        <w:contextualSpacing/>
        <w:rPr>
          <w:rFonts w:eastAsia="仿宋"/>
          <w:szCs w:val="32"/>
        </w:rPr>
      </w:pPr>
      <w:r>
        <w:rPr>
          <w:rFonts w:hint="eastAsia" w:eastAsia="仿宋"/>
          <w:szCs w:val="32"/>
        </w:rPr>
        <w:t>中高职衔接研究</w:t>
      </w:r>
    </w:p>
    <w:p>
      <w:pPr>
        <w:widowControl/>
        <w:numPr>
          <w:ilvl w:val="0"/>
          <w:numId w:val="2"/>
        </w:numPr>
        <w:tabs>
          <w:tab w:val="left" w:pos="993"/>
        </w:tabs>
        <w:spacing w:line="560" w:lineRule="exact"/>
        <w:ind w:firstLine="632" w:firstLineChars="200"/>
        <w:contextualSpacing/>
        <w:rPr>
          <w:rFonts w:eastAsia="仿宋"/>
          <w:szCs w:val="32"/>
        </w:rPr>
      </w:pPr>
      <w:r>
        <w:rPr>
          <w:rFonts w:hint="eastAsia" w:eastAsia="仿宋"/>
          <w:szCs w:val="32"/>
        </w:rPr>
        <w:t>中等职业学校示范建设研究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职业教育教学管理研究</w:t>
      </w:r>
    </w:p>
    <w:p>
      <w:pPr>
        <w:widowControl/>
        <w:numPr>
          <w:ilvl w:val="0"/>
          <w:numId w:val="2"/>
        </w:numPr>
        <w:tabs>
          <w:tab w:val="left" w:pos="993"/>
        </w:tabs>
        <w:spacing w:line="560" w:lineRule="exact"/>
        <w:ind w:firstLine="632" w:firstLineChars="200"/>
        <w:contextualSpacing/>
        <w:rPr>
          <w:rFonts w:eastAsia="仿宋"/>
          <w:szCs w:val="32"/>
        </w:rPr>
      </w:pPr>
      <w:r>
        <w:rPr>
          <w:rFonts w:hint="eastAsia" w:eastAsia="仿宋"/>
          <w:szCs w:val="32"/>
        </w:rPr>
        <w:t>退役军人、新型职业农民、农民工、下岗职工职业教育研究</w:t>
      </w:r>
    </w:p>
    <w:p>
      <w:pPr>
        <w:widowControl/>
        <w:numPr>
          <w:ilvl w:val="0"/>
          <w:numId w:val="2"/>
        </w:numPr>
        <w:tabs>
          <w:tab w:val="left" w:pos="993"/>
        </w:tabs>
        <w:spacing w:line="560" w:lineRule="exact"/>
        <w:ind w:firstLine="632" w:firstLineChars="200"/>
        <w:contextualSpacing/>
        <w:rPr>
          <w:rFonts w:eastAsia="仿宋"/>
          <w:szCs w:val="32"/>
        </w:rPr>
      </w:pPr>
      <w:r>
        <w:rPr>
          <w:rFonts w:hint="eastAsia" w:eastAsia="仿宋"/>
          <w:szCs w:val="32"/>
        </w:rPr>
        <w:t>少数民族</w:t>
      </w:r>
      <w:r>
        <w:rPr>
          <w:rFonts w:hint="eastAsia" w:eastAsia="仿宋"/>
          <w:color w:val="000000"/>
          <w:szCs w:val="32"/>
        </w:rPr>
        <w:t>学生</w:t>
      </w:r>
      <w:r>
        <w:rPr>
          <w:rFonts w:hint="eastAsia" w:eastAsia="仿宋"/>
          <w:szCs w:val="32"/>
        </w:rPr>
        <w:t>培养培训研究</w:t>
      </w:r>
    </w:p>
    <w:p>
      <w:pPr>
        <w:widowControl/>
        <w:numPr>
          <w:ilvl w:val="0"/>
          <w:numId w:val="2"/>
        </w:numPr>
        <w:tabs>
          <w:tab w:val="left" w:pos="993"/>
        </w:tabs>
        <w:spacing w:line="560" w:lineRule="exact"/>
        <w:ind w:firstLine="632" w:firstLineChars="200"/>
        <w:contextualSpacing/>
        <w:rPr>
          <w:szCs w:val="32"/>
        </w:rPr>
      </w:pPr>
      <w:r>
        <w:rPr>
          <w:rFonts w:hint="eastAsia"/>
          <w:szCs w:val="32"/>
        </w:rPr>
        <w:t>教师教学能力竞赛组织管理机制研究</w:t>
      </w:r>
    </w:p>
    <w:p>
      <w:pPr>
        <w:widowControl/>
        <w:numPr>
          <w:ilvl w:val="0"/>
          <w:numId w:val="2"/>
        </w:numPr>
        <w:tabs>
          <w:tab w:val="left" w:pos="993"/>
        </w:tabs>
        <w:spacing w:line="560" w:lineRule="exact"/>
        <w:ind w:firstLine="632" w:firstLineChars="200"/>
        <w:contextualSpacing/>
        <w:rPr>
          <w:rFonts w:hint="eastAsia"/>
          <w:szCs w:val="32"/>
        </w:rPr>
      </w:pPr>
      <w:r>
        <w:rPr>
          <w:rFonts w:hint="eastAsia"/>
          <w:szCs w:val="32"/>
        </w:rPr>
        <w:t>学生职业技能竞赛组织管理机制研究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职业教育质量评价体系研究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职业教育教学诊断与改进研究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ascii="黑体" w:hAnsi="黑体" w:eastAsia="黑体"/>
        </w:rPr>
        <w:t>技术技能创新服务平台</w:t>
      </w:r>
      <w:r>
        <w:rPr>
          <w:rFonts w:hint="eastAsia" w:ascii="黑体" w:hAnsi="黑体" w:eastAsia="黑体"/>
        </w:rPr>
        <w:t>建设研究</w:t>
      </w:r>
    </w:p>
    <w:p>
      <w:pPr>
        <w:widowControl/>
        <w:numPr>
          <w:ilvl w:val="0"/>
          <w:numId w:val="2"/>
        </w:numPr>
        <w:tabs>
          <w:tab w:val="left" w:pos="993"/>
        </w:tabs>
        <w:spacing w:line="560" w:lineRule="exact"/>
        <w:ind w:firstLine="632" w:firstLineChars="200"/>
        <w:contextualSpacing/>
        <w:rPr>
          <w:szCs w:val="32"/>
        </w:rPr>
      </w:pPr>
      <w:r>
        <w:rPr>
          <w:szCs w:val="32"/>
        </w:rPr>
        <w:t>人才培养与技术</w:t>
      </w:r>
      <w:r>
        <w:rPr>
          <w:rFonts w:hint="eastAsia"/>
          <w:szCs w:val="32"/>
        </w:rPr>
        <w:t>协同</w:t>
      </w:r>
      <w:r>
        <w:rPr>
          <w:szCs w:val="32"/>
        </w:rPr>
        <w:t>创新平台</w:t>
      </w:r>
      <w:r>
        <w:rPr>
          <w:rFonts w:hint="eastAsia"/>
          <w:szCs w:val="32"/>
        </w:rPr>
        <w:t>建设研究</w:t>
      </w:r>
    </w:p>
    <w:p>
      <w:pPr>
        <w:widowControl/>
        <w:numPr>
          <w:ilvl w:val="0"/>
          <w:numId w:val="2"/>
        </w:numPr>
        <w:tabs>
          <w:tab w:val="left" w:pos="993"/>
        </w:tabs>
        <w:spacing w:line="560" w:lineRule="exact"/>
        <w:ind w:firstLine="632" w:firstLineChars="200"/>
        <w:contextualSpacing/>
        <w:rPr>
          <w:szCs w:val="32"/>
        </w:rPr>
      </w:pPr>
      <w:r>
        <w:rPr>
          <w:rFonts w:hint="eastAsia"/>
          <w:szCs w:val="32"/>
          <w:lang w:eastAsia="zh-CN"/>
        </w:rPr>
        <w:t>“</w:t>
      </w:r>
      <w:r>
        <w:rPr>
          <w:rFonts w:hint="eastAsia"/>
          <w:szCs w:val="32"/>
        </w:rPr>
        <w:t>政园企校行研</w:t>
      </w:r>
      <w:r>
        <w:rPr>
          <w:rFonts w:hint="eastAsia"/>
          <w:szCs w:val="32"/>
          <w:lang w:eastAsia="zh-CN"/>
        </w:rPr>
        <w:t>”</w:t>
      </w:r>
      <w:r>
        <w:rPr>
          <w:szCs w:val="32"/>
        </w:rPr>
        <w:t>合</w:t>
      </w:r>
      <w:r>
        <w:rPr>
          <w:rFonts w:hint="eastAsia"/>
          <w:szCs w:val="32"/>
          <w:lang w:eastAsia="zh-CN"/>
        </w:rPr>
        <w:t>作</w:t>
      </w:r>
      <w:r>
        <w:rPr>
          <w:szCs w:val="32"/>
        </w:rPr>
        <w:t>平台</w:t>
      </w:r>
      <w:r>
        <w:rPr>
          <w:rFonts w:hint="eastAsia"/>
          <w:szCs w:val="32"/>
        </w:rPr>
        <w:t>建设研究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ascii="黑体" w:hAnsi="黑体" w:eastAsia="黑体"/>
        </w:rPr>
        <w:t>高水平专业群</w:t>
      </w:r>
      <w:r>
        <w:rPr>
          <w:rFonts w:hint="eastAsia" w:ascii="黑体" w:hAnsi="黑体" w:eastAsia="黑体"/>
        </w:rPr>
        <w:t>建设研究</w:t>
      </w:r>
    </w:p>
    <w:p>
      <w:pPr>
        <w:widowControl/>
        <w:numPr>
          <w:ilvl w:val="0"/>
          <w:numId w:val="2"/>
        </w:numPr>
        <w:tabs>
          <w:tab w:val="left" w:pos="993"/>
        </w:tabs>
        <w:spacing w:line="560" w:lineRule="exact"/>
        <w:ind w:firstLine="632" w:firstLineChars="200"/>
        <w:contextualSpacing/>
        <w:rPr>
          <w:szCs w:val="32"/>
        </w:rPr>
      </w:pPr>
      <w:r>
        <w:rPr>
          <w:szCs w:val="32"/>
        </w:rPr>
        <w:t>专业资源整合和结构优化</w:t>
      </w:r>
      <w:r>
        <w:rPr>
          <w:rFonts w:hint="eastAsia"/>
          <w:szCs w:val="32"/>
        </w:rPr>
        <w:t>研究</w:t>
      </w:r>
    </w:p>
    <w:p>
      <w:pPr>
        <w:widowControl/>
        <w:numPr>
          <w:ilvl w:val="0"/>
          <w:numId w:val="2"/>
        </w:numPr>
        <w:tabs>
          <w:tab w:val="left" w:pos="993"/>
        </w:tabs>
        <w:spacing w:line="560" w:lineRule="exact"/>
        <w:ind w:firstLine="632" w:firstLineChars="200"/>
        <w:contextualSpacing/>
        <w:rPr>
          <w:szCs w:val="32"/>
        </w:rPr>
      </w:pPr>
      <w:r>
        <w:rPr>
          <w:szCs w:val="32"/>
        </w:rPr>
        <w:t>专业群可持续发展保障机制</w:t>
      </w:r>
      <w:r>
        <w:rPr>
          <w:rFonts w:hint="eastAsia"/>
          <w:szCs w:val="32"/>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模块化教学模式研究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w:t>
      </w:r>
      <w:r>
        <w:rPr>
          <w:szCs w:val="32"/>
        </w:rPr>
        <w:t>人才培养供给侧</w:t>
      </w:r>
      <w:r>
        <w:rPr>
          <w:rFonts w:hint="eastAsia"/>
          <w:szCs w:val="32"/>
        </w:rPr>
        <w:t>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ascii="黑体" w:hAnsi="黑体" w:eastAsia="黑体"/>
        </w:rPr>
        <w:t>高水平双师队伍</w:t>
      </w:r>
      <w:r>
        <w:rPr>
          <w:rFonts w:hint="eastAsia" w:ascii="黑体" w:hAnsi="黑体" w:eastAsia="黑体"/>
        </w:rPr>
        <w:t>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专业教师团队建设研究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领军人才培养研究</w:t>
      </w:r>
    </w:p>
    <w:p>
      <w:pPr>
        <w:widowControl/>
        <w:numPr>
          <w:ilvl w:val="0"/>
          <w:numId w:val="2"/>
        </w:numPr>
        <w:tabs>
          <w:tab w:val="left" w:pos="993"/>
        </w:tabs>
        <w:spacing w:line="560" w:lineRule="exact"/>
        <w:ind w:firstLine="632" w:firstLineChars="200"/>
        <w:contextualSpacing/>
        <w:rPr>
          <w:szCs w:val="32"/>
        </w:rPr>
      </w:pPr>
      <w:r>
        <w:rPr>
          <w:szCs w:val="32"/>
        </w:rPr>
        <w:t>教师评价机制</w:t>
      </w:r>
      <w:r>
        <w:rPr>
          <w:rFonts w:hint="eastAsia"/>
          <w:szCs w:val="32"/>
        </w:rPr>
        <w:t>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ascii="黑体" w:hAnsi="黑体" w:eastAsia="黑体"/>
        </w:rPr>
        <w:t>校企合作</w:t>
      </w:r>
      <w:r>
        <w:rPr>
          <w:rFonts w:hint="eastAsia" w:ascii="黑体" w:hAnsi="黑体" w:eastAsia="黑体"/>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产业学院建设研究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职教集团建设研究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高水平实践教学基地建设研究</w:t>
      </w:r>
      <w:bookmarkStart w:id="12" w:name="_GoBack"/>
      <w:bookmarkEnd w:id="12"/>
    </w:p>
    <w:p>
      <w:pPr>
        <w:widowControl/>
        <w:numPr>
          <w:ilvl w:val="0"/>
          <w:numId w:val="2"/>
        </w:numPr>
        <w:tabs>
          <w:tab w:val="left" w:pos="993"/>
        </w:tabs>
        <w:spacing w:line="560" w:lineRule="exact"/>
        <w:ind w:firstLine="632" w:firstLineChars="200"/>
        <w:contextualSpacing/>
        <w:rPr>
          <w:szCs w:val="32"/>
        </w:rPr>
      </w:pPr>
      <w:r>
        <w:rPr>
          <w:rFonts w:hint="eastAsia"/>
          <w:szCs w:val="32"/>
        </w:rPr>
        <w:t>创新创业孵化园建设研究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现代学徒制和企业新型学徒制研究</w:t>
      </w:r>
    </w:p>
    <w:p>
      <w:pPr>
        <w:widowControl/>
        <w:numPr>
          <w:ilvl w:val="0"/>
          <w:numId w:val="2"/>
        </w:numPr>
        <w:tabs>
          <w:tab w:val="left" w:pos="993"/>
        </w:tabs>
        <w:spacing w:line="560" w:lineRule="exact"/>
        <w:ind w:firstLine="632" w:firstLineChars="200"/>
        <w:contextualSpacing/>
        <w:rPr>
          <w:szCs w:val="32"/>
        </w:rPr>
      </w:pPr>
      <w:r>
        <w:rPr>
          <w:rFonts w:hint="eastAsia"/>
          <w:szCs w:val="32"/>
        </w:rPr>
        <w:t>多元办学体制机制改革研究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hint="eastAsia" w:ascii="黑体" w:hAnsi="黑体" w:eastAsia="黑体"/>
        </w:rPr>
        <w:t>职业教育服务经济社会发展研究</w:t>
      </w:r>
    </w:p>
    <w:p>
      <w:pPr>
        <w:widowControl/>
        <w:numPr>
          <w:ilvl w:val="0"/>
          <w:numId w:val="2"/>
        </w:numPr>
        <w:tabs>
          <w:tab w:val="left" w:pos="993"/>
        </w:tabs>
        <w:spacing w:line="560" w:lineRule="exact"/>
        <w:ind w:firstLine="632" w:firstLineChars="200"/>
        <w:contextualSpacing/>
        <w:rPr>
          <w:szCs w:val="32"/>
        </w:rPr>
      </w:pPr>
      <w:r>
        <w:rPr>
          <w:szCs w:val="32"/>
        </w:rPr>
        <w:t>新产品开发和技术成果推广转化</w:t>
      </w:r>
      <w:r>
        <w:rPr>
          <w:rFonts w:hint="eastAsia"/>
          <w:szCs w:val="32"/>
        </w:rPr>
        <w:t>机制建设研究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w:t>
      </w:r>
      <w:r>
        <w:rPr>
          <w:szCs w:val="32"/>
        </w:rPr>
        <w:t>服务乡村振兴战略</w:t>
      </w:r>
      <w:r>
        <w:rPr>
          <w:rFonts w:hint="eastAsia"/>
          <w:szCs w:val="32"/>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职业教育助力脱贫</w:t>
      </w:r>
      <w:r>
        <w:rPr>
          <w:rFonts w:hint="eastAsia"/>
          <w:szCs w:val="32"/>
          <w:lang w:eastAsia="zh-CN"/>
        </w:rPr>
        <w:t>攻</w:t>
      </w:r>
      <w:r>
        <w:rPr>
          <w:rFonts w:hint="eastAsia" w:ascii="仿宋" w:hAnsi="仿宋" w:eastAsia="仿宋" w:cs="仿宋"/>
          <w:szCs w:val="32"/>
          <w:lang w:eastAsia="zh-CN"/>
        </w:rPr>
        <w:t>坚</w:t>
      </w:r>
      <w:r>
        <w:rPr>
          <w:rFonts w:hint="eastAsia"/>
          <w:szCs w:val="32"/>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职业培训研究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hint="eastAsia" w:ascii="黑体" w:hAnsi="黑体" w:eastAsia="黑体"/>
        </w:rPr>
        <w:t>职业</w:t>
      </w:r>
      <w:r>
        <w:rPr>
          <w:rFonts w:ascii="黑体" w:hAnsi="黑体" w:eastAsia="黑体"/>
        </w:rPr>
        <w:t>学校治理</w:t>
      </w:r>
      <w:r>
        <w:rPr>
          <w:rFonts w:hint="eastAsia" w:ascii="黑体" w:hAnsi="黑体" w:eastAsia="黑体"/>
        </w:rPr>
        <w:t>研究</w:t>
      </w:r>
    </w:p>
    <w:p>
      <w:pPr>
        <w:widowControl/>
        <w:numPr>
          <w:ilvl w:val="0"/>
          <w:numId w:val="2"/>
        </w:numPr>
        <w:tabs>
          <w:tab w:val="left" w:pos="993"/>
        </w:tabs>
        <w:spacing w:line="560" w:lineRule="exact"/>
        <w:ind w:firstLine="632" w:firstLineChars="200"/>
        <w:contextualSpacing/>
        <w:rPr>
          <w:szCs w:val="32"/>
        </w:rPr>
      </w:pPr>
      <w:r>
        <w:rPr>
          <w:rFonts w:hint="eastAsia"/>
          <w:szCs w:val="32"/>
        </w:rPr>
        <w:t>职业院校现代治理体系建设研究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hint="eastAsia" w:ascii="黑体" w:hAnsi="黑体" w:eastAsia="黑体"/>
        </w:rPr>
        <w:t>职业教育</w:t>
      </w:r>
      <w:r>
        <w:rPr>
          <w:rFonts w:ascii="黑体" w:hAnsi="黑体" w:eastAsia="黑体"/>
        </w:rPr>
        <w:t>信息化</w:t>
      </w:r>
      <w:r>
        <w:rPr>
          <w:rFonts w:hint="eastAsia" w:ascii="黑体" w:hAnsi="黑体" w:eastAsia="黑体"/>
        </w:rPr>
        <w:t>研究</w:t>
      </w:r>
    </w:p>
    <w:p>
      <w:pPr>
        <w:widowControl/>
        <w:numPr>
          <w:ilvl w:val="0"/>
          <w:numId w:val="2"/>
        </w:numPr>
        <w:tabs>
          <w:tab w:val="left" w:pos="993"/>
        </w:tabs>
        <w:spacing w:line="560" w:lineRule="exact"/>
        <w:ind w:firstLine="632" w:firstLineChars="200"/>
        <w:contextualSpacing/>
        <w:rPr>
          <w:szCs w:val="32"/>
        </w:rPr>
      </w:pPr>
      <w:r>
        <w:rPr>
          <w:szCs w:val="32"/>
        </w:rPr>
        <w:t>智慧校园建设</w:t>
      </w:r>
      <w:r>
        <w:rPr>
          <w:rFonts w:hint="eastAsia"/>
          <w:szCs w:val="32"/>
        </w:rPr>
        <w:t>研究</w:t>
      </w:r>
    </w:p>
    <w:p>
      <w:pPr>
        <w:widowControl/>
        <w:numPr>
          <w:ilvl w:val="0"/>
          <w:numId w:val="2"/>
        </w:numPr>
        <w:tabs>
          <w:tab w:val="left" w:pos="993"/>
        </w:tabs>
        <w:spacing w:line="560" w:lineRule="exact"/>
        <w:ind w:firstLine="632" w:firstLineChars="200"/>
        <w:contextualSpacing/>
        <w:rPr>
          <w:szCs w:val="32"/>
        </w:rPr>
      </w:pPr>
      <w:r>
        <w:rPr>
          <w:szCs w:val="32"/>
        </w:rPr>
        <w:t>“信息技术+”升级传统专业</w:t>
      </w:r>
      <w:r>
        <w:rPr>
          <w:rFonts w:hint="eastAsia"/>
          <w:szCs w:val="32"/>
        </w:rPr>
        <w:t>研究</w:t>
      </w:r>
    </w:p>
    <w:p>
      <w:pPr>
        <w:widowControl/>
        <w:numPr>
          <w:ilvl w:val="0"/>
          <w:numId w:val="2"/>
        </w:numPr>
        <w:tabs>
          <w:tab w:val="left" w:pos="993"/>
        </w:tabs>
        <w:spacing w:line="560" w:lineRule="exact"/>
        <w:ind w:firstLine="632" w:firstLineChars="200"/>
        <w:contextualSpacing/>
        <w:rPr>
          <w:szCs w:val="32"/>
        </w:rPr>
      </w:pPr>
      <w:r>
        <w:rPr>
          <w:szCs w:val="32"/>
        </w:rPr>
        <w:t>线上线下混合教学</w:t>
      </w:r>
      <w:r>
        <w:rPr>
          <w:rFonts w:hint="eastAsia"/>
          <w:szCs w:val="32"/>
        </w:rPr>
        <w:t>模式研究</w:t>
      </w:r>
    </w:p>
    <w:p>
      <w:pPr>
        <w:widowControl/>
        <w:numPr>
          <w:ilvl w:val="0"/>
          <w:numId w:val="1"/>
        </w:numPr>
        <w:tabs>
          <w:tab w:val="left" w:pos="312"/>
          <w:tab w:val="left" w:pos="993"/>
        </w:tabs>
        <w:spacing w:line="560" w:lineRule="exact"/>
        <w:ind w:firstLine="632" w:firstLineChars="200"/>
        <w:contextualSpacing/>
        <w:rPr>
          <w:rFonts w:ascii="黑体" w:hAnsi="黑体" w:eastAsia="黑体"/>
        </w:rPr>
      </w:pPr>
      <w:r>
        <w:rPr>
          <w:rFonts w:hint="eastAsia" w:ascii="黑体" w:hAnsi="黑体" w:eastAsia="黑体"/>
        </w:rPr>
        <w:t>职业教育</w:t>
      </w:r>
      <w:r>
        <w:rPr>
          <w:rFonts w:ascii="黑体" w:hAnsi="黑体" w:eastAsia="黑体"/>
        </w:rPr>
        <w:t>国际化</w:t>
      </w:r>
      <w:r>
        <w:rPr>
          <w:rFonts w:hint="eastAsia" w:ascii="黑体" w:hAnsi="黑体" w:eastAsia="黑体"/>
        </w:rPr>
        <w:t>研究</w:t>
      </w:r>
    </w:p>
    <w:p>
      <w:pPr>
        <w:widowControl/>
        <w:numPr>
          <w:ilvl w:val="0"/>
          <w:numId w:val="2"/>
        </w:numPr>
        <w:tabs>
          <w:tab w:val="left" w:pos="993"/>
        </w:tabs>
        <w:spacing w:line="560" w:lineRule="exact"/>
        <w:ind w:firstLine="632" w:firstLineChars="200"/>
        <w:contextualSpacing/>
        <w:rPr>
          <w:szCs w:val="32"/>
        </w:rPr>
      </w:pPr>
      <w:r>
        <w:rPr>
          <w:szCs w:val="32"/>
        </w:rPr>
        <w:t>国际通用的专业标准和课程体系</w:t>
      </w:r>
      <w:r>
        <w:rPr>
          <w:rFonts w:hint="eastAsia"/>
          <w:szCs w:val="32"/>
        </w:rPr>
        <w:t>建设研究</w:t>
      </w:r>
    </w:p>
    <w:p>
      <w:pPr>
        <w:widowControl/>
        <w:numPr>
          <w:ilvl w:val="0"/>
          <w:numId w:val="2"/>
        </w:numPr>
        <w:tabs>
          <w:tab w:val="left" w:pos="993"/>
        </w:tabs>
        <w:spacing w:line="560" w:lineRule="exact"/>
        <w:ind w:firstLine="632" w:firstLineChars="200"/>
        <w:contextualSpacing/>
        <w:rPr>
          <w:szCs w:val="32"/>
        </w:rPr>
      </w:pPr>
      <w:r>
        <w:rPr>
          <w:rFonts w:hint="eastAsia"/>
          <w:szCs w:val="32"/>
        </w:rPr>
        <w:t>先进职教资源本土化研究</w:t>
      </w:r>
    </w:p>
    <w:p>
      <w:pPr>
        <w:widowControl/>
        <w:numPr>
          <w:ilvl w:val="0"/>
          <w:numId w:val="2"/>
        </w:numPr>
        <w:tabs>
          <w:tab w:val="left" w:pos="993"/>
        </w:tabs>
        <w:spacing w:line="560" w:lineRule="exact"/>
        <w:ind w:firstLine="632" w:firstLineChars="200"/>
        <w:contextualSpacing/>
        <w:rPr>
          <w:szCs w:val="32"/>
        </w:rPr>
      </w:pPr>
      <w:r>
        <w:rPr>
          <w:szCs w:val="32"/>
        </w:rPr>
        <w:t>国际职业教育服务</w:t>
      </w:r>
      <w:r>
        <w:rPr>
          <w:rFonts w:hint="eastAsia"/>
          <w:szCs w:val="32"/>
        </w:rPr>
        <w:t>研究</w:t>
      </w:r>
      <w:bookmarkEnd w:id="11"/>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ind w:firstLine="632" w:firstLineChars="200"/>
        <w:rPr>
          <w:color w:val="000000"/>
          <w:kern w:val="0"/>
          <w:szCs w:val="32"/>
        </w:rPr>
      </w:pPr>
    </w:p>
    <w:p>
      <w:pPr>
        <w:widowControl/>
        <w:shd w:val="clear" w:color="auto" w:fill="FFFFFF"/>
        <w:snapToGrid w:val="0"/>
        <w:spacing w:line="240" w:lineRule="exact"/>
        <w:rPr>
          <w:color w:val="000000"/>
          <w:kern w:val="0"/>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060" w:type="dxa"/>
            <w:tcBorders>
              <w:left w:val="nil"/>
              <w:right w:val="nil"/>
            </w:tcBorders>
            <w:shd w:val="clear" w:color="auto" w:fill="auto"/>
            <w:vAlign w:val="center"/>
          </w:tcPr>
          <w:p>
            <w:pPr>
              <w:widowControl/>
              <w:spacing w:line="560" w:lineRule="atLeast"/>
              <w:ind w:left="158" w:leftChars="50"/>
              <w:contextualSpacing/>
              <w:rPr>
                <w:color w:val="000000"/>
                <w:kern w:val="0"/>
                <w:sz w:val="28"/>
                <w:szCs w:val="28"/>
              </w:rPr>
            </w:pPr>
            <w:r>
              <w:rPr>
                <w:rFonts w:hint="eastAsia"/>
                <w:color w:val="000000"/>
                <w:kern w:val="0"/>
                <w:sz w:val="28"/>
                <w:szCs w:val="28"/>
              </w:rPr>
              <w:t>抄送：泸州市教育和体育局，泸州市教育科学研究所。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9060" w:type="dxa"/>
            <w:tcBorders>
              <w:left w:val="nil"/>
              <w:right w:val="nil"/>
            </w:tcBorders>
            <w:shd w:val="clear" w:color="auto" w:fill="auto"/>
            <w:vAlign w:val="center"/>
          </w:tcPr>
          <w:p>
            <w:pPr>
              <w:widowControl/>
              <w:spacing w:line="560" w:lineRule="atLeast"/>
              <w:ind w:left="158" w:leftChars="50"/>
              <w:contextualSpacing/>
              <w:rPr>
                <w:color w:val="000000"/>
                <w:kern w:val="0"/>
                <w:sz w:val="28"/>
                <w:szCs w:val="28"/>
              </w:rPr>
            </w:pPr>
            <w:r>
              <w:rPr>
                <w:rFonts w:hint="eastAsia"/>
                <w:color w:val="000000"/>
                <w:kern w:val="0"/>
                <w:sz w:val="28"/>
                <w:szCs w:val="28"/>
              </w:rPr>
              <w:t>泸州职业教育研究中心</w:t>
            </w:r>
            <w:r>
              <w:rPr>
                <w:color w:val="000000"/>
                <w:kern w:val="0"/>
                <w:sz w:val="28"/>
                <w:szCs w:val="28"/>
              </w:rPr>
              <w:t xml:space="preserve">                    </w:t>
            </w:r>
            <w:r>
              <w:rPr>
                <w:rFonts w:hint="eastAsia"/>
                <w:color w:val="000000"/>
                <w:kern w:val="0"/>
                <w:sz w:val="28"/>
                <w:szCs w:val="28"/>
              </w:rPr>
              <w:t>2020年</w:t>
            </w:r>
            <w:r>
              <w:rPr>
                <w:color w:val="000000"/>
                <w:kern w:val="0"/>
                <w:sz w:val="28"/>
                <w:szCs w:val="28"/>
              </w:rPr>
              <w:t>11</w:t>
            </w:r>
            <w:r>
              <w:rPr>
                <w:rFonts w:hint="eastAsia"/>
                <w:color w:val="000000"/>
                <w:kern w:val="0"/>
                <w:sz w:val="28"/>
                <w:szCs w:val="28"/>
              </w:rPr>
              <w:t>月2</w:t>
            </w:r>
            <w:r>
              <w:rPr>
                <w:color w:val="000000"/>
                <w:kern w:val="0"/>
                <w:sz w:val="28"/>
                <w:szCs w:val="28"/>
              </w:rPr>
              <w:t>0</w:t>
            </w:r>
            <w:r>
              <w:rPr>
                <w:rFonts w:hint="eastAsia"/>
                <w:color w:val="000000"/>
                <w:kern w:val="0"/>
                <w:sz w:val="28"/>
                <w:szCs w:val="28"/>
              </w:rPr>
              <w:t>日印发</w:t>
            </w:r>
          </w:p>
        </w:tc>
      </w:tr>
      <w:bookmarkEnd w:id="10"/>
    </w:tbl>
    <w:p>
      <w:pPr>
        <w:snapToGrid w:val="0"/>
        <w:spacing w:line="20" w:lineRule="exact"/>
        <w:jc w:val="center"/>
        <w:rPr>
          <w:rFonts w:eastAsia="仿宋_GB2312" w:cs="Times New Roman"/>
          <w:sz w:val="44"/>
          <w:szCs w:val="44"/>
        </w:rPr>
      </w:pPr>
    </w:p>
    <w:sectPr>
      <w:headerReference r:id="rId5" w:type="first"/>
      <w:footerReference r:id="rId8" w:type="first"/>
      <w:headerReference r:id="rId3" w:type="default"/>
      <w:footerReference r:id="rId6" w:type="default"/>
      <w:headerReference r:id="rId4" w:type="even"/>
      <w:footerReference r:id="rId7" w:type="even"/>
      <w:pgSz w:w="11904" w:h="16840" w:orient="landscape"/>
      <w:pgMar w:top="2098" w:right="1474" w:bottom="1871" w:left="1588" w:header="851" w:footer="1361" w:gutter="0"/>
      <w:cols w:space="425" w:num="1"/>
      <w:titlePg/>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1456BE5-4013-48EF-958D-18C05847FAD2}"/>
  </w:font>
  <w:font w:name="Arial">
    <w:panose1 w:val="020B0604020202020204"/>
    <w:charset w:val="01"/>
    <w:family w:val="swiss"/>
    <w:pitch w:val="default"/>
    <w:sig w:usb0="E0002AFF" w:usb1="C0007843" w:usb2="00000009" w:usb3="00000000" w:csb0="400001FF" w:csb1="FFFF0000"/>
    <w:embedRegular r:id="rId2" w:fontKey="{0D4288F6-024B-4D7E-AB09-8AFFFB51DECE}"/>
  </w:font>
  <w:font w:name="黑体">
    <w:panose1 w:val="02010609060101010101"/>
    <w:charset w:val="86"/>
    <w:family w:val="auto"/>
    <w:pitch w:val="default"/>
    <w:sig w:usb0="800002BF" w:usb1="38CF7CFA" w:usb2="00000016" w:usb3="00000000" w:csb0="00040001" w:csb1="00000000"/>
    <w:embedRegular r:id="rId3" w:fontKey="{F63D78CD-D5FA-42A6-805E-045D6777A473}"/>
  </w:font>
  <w:font w:name="Courier New">
    <w:panose1 w:val="02070309020205020404"/>
    <w:charset w:val="01"/>
    <w:family w:val="modern"/>
    <w:pitch w:val="default"/>
    <w:sig w:usb0="E0002AFF" w:usb1="C0007843" w:usb2="00000009" w:usb3="00000000" w:csb0="400001FF" w:csb1="FFFF0000"/>
    <w:embedRegular r:id="rId4" w:fontKey="{A1092D69-BBBA-44C8-AC65-73FBE005F357}"/>
  </w:font>
  <w:font w:name="Symbol">
    <w:panose1 w:val="05050102010706020507"/>
    <w:charset w:val="02"/>
    <w:family w:val="roman"/>
    <w:pitch w:val="default"/>
    <w:sig w:usb0="00000000" w:usb1="00000000" w:usb2="00000000" w:usb3="00000000" w:csb0="80000000" w:csb1="00000000"/>
    <w:embedRegular r:id="rId5" w:fontKey="{08A9ADC5-965F-44D7-9F71-B593833A0AB1}"/>
  </w:font>
  <w:font w:name="Calibri">
    <w:panose1 w:val="020F0502020204030204"/>
    <w:charset w:val="00"/>
    <w:family w:val="swiss"/>
    <w:pitch w:val="default"/>
    <w:sig w:usb0="E10002FF" w:usb1="4000ACFF" w:usb2="00000009" w:usb3="00000000" w:csb0="2000019F" w:csb1="00000000"/>
    <w:embedRegular r:id="rId6" w:fontKey="{03A9771D-D2CF-4330-81D3-F54522D1B5D2}"/>
  </w:font>
  <w:font w:name="方正小标宋简体">
    <w:panose1 w:val="03000509000000000000"/>
    <w:charset w:val="86"/>
    <w:family w:val="auto"/>
    <w:pitch w:val="default"/>
    <w:sig w:usb0="00000001" w:usb1="080E0000" w:usb2="00000000" w:usb3="00000000" w:csb0="00040000" w:csb1="00000000"/>
    <w:embedRegular r:id="rId7" w:fontKey="{AEA851FB-526F-4444-B87C-0E54788954C9}"/>
  </w:font>
  <w:font w:name="Mongolian Baiti">
    <w:panose1 w:val="03000500000000000000"/>
    <w:charset w:val="00"/>
    <w:family w:val="script"/>
    <w:pitch w:val="default"/>
    <w:sig w:usb0="80000023" w:usb1="00000000" w:usb2="00020000" w:usb3="00000000" w:csb0="00000001" w:csb1="00000000"/>
    <w:embedRegular r:id="rId8" w:fontKey="{2739513F-FA1F-423F-8E80-551DA93644AB}"/>
  </w:font>
  <w:font w:name="方正仿宋简体">
    <w:panose1 w:val="03000509000000000000"/>
    <w:charset w:val="86"/>
    <w:family w:val="script"/>
    <w:pitch w:val="default"/>
    <w:sig w:usb0="00000000" w:usb1="00000000" w:usb2="00000000" w:usb3="00000000" w:csb0="00000000" w:csb1="00000000"/>
  </w:font>
  <w:font w:name="仿宋_GB2312">
    <w:panose1 w:val="02010609030101010101"/>
    <w:charset w:val="86"/>
    <w:family w:val="modern"/>
    <w:pitch w:val="default"/>
    <w:sig w:usb0="00000000" w:usb1="00000000" w:usb2="00000000" w:usb3="00000000" w:csb0="00000000" w:csb1="00000000"/>
    <w:embedRegular r:id="rId9" w:fontKey="{FB1C165D-F854-41E1-BFA5-15625EC15137}"/>
  </w:font>
  <w:font w:name="仿宋">
    <w:panose1 w:val="02010609060101010101"/>
    <w:charset w:val="86"/>
    <w:family w:val="modern"/>
    <w:pitch w:val="default"/>
    <w:sig w:usb0="800002BF" w:usb1="38CF7CFA" w:usb2="00000016" w:usb3="00000000" w:csb0="00040001" w:csb1="00000000"/>
    <w:embedRegular r:id="rId10" w:fontKey="{A35A9E47-59E7-4EB4-8ACA-1B3593F3B4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20" w:rightChars="100"/>
      <w:jc w:val="right"/>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5</w:t>
    </w:r>
    <w:r>
      <w:rPr>
        <w:rFonts w:ascii="宋体" w:hAnsi="宋体" w:eastAsia="宋体"/>
        <w:sz w:val="28"/>
      </w:rPr>
      <w:fldChar w:fldCharType="end"/>
    </w:r>
    <w:r>
      <w:rPr>
        <w:rFonts w:ascii="宋体" w:hAnsi="宋体" w:eastAsia="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280" w:firstLineChars="100"/>
      <w:rPr>
        <w:rFonts w:ascii="宋体" w:hAnsi="宋体" w:eastAsia="宋体"/>
        <w:sz w:val="28"/>
      </w:rPr>
    </w:pPr>
    <w:r>
      <w:rPr>
        <w:rFonts w:hint="eastAsia" w:ascii="宋体" w:hAnsi="宋体" w:eastAsia="宋体"/>
        <w:sz w:val="28"/>
      </w:rPr>
      <w:t>—</w:t>
    </w:r>
    <w:r>
      <w:rPr>
        <w:rFonts w:ascii="宋体" w:hAnsi="宋体" w:eastAsia="宋体"/>
        <w:sz w:val="28"/>
      </w:rPr>
      <w:t xml:space="preserve"> </w:t>
    </w:r>
    <w:r>
      <w:rPr>
        <w:rFonts w:ascii="宋体" w:hAnsi="宋体" w:eastAsia="宋体"/>
        <w:sz w:val="28"/>
      </w:rPr>
      <w:fldChar w:fldCharType="begin"/>
    </w:r>
    <w:r>
      <w:rPr>
        <w:rFonts w:ascii="宋体" w:hAnsi="宋体" w:eastAsia="宋体"/>
        <w:sz w:val="28"/>
      </w:rPr>
      <w:instrText xml:space="preserve"> PAGE \* Arabic \* MERGEFORMAT </w:instrText>
    </w:r>
    <w:r>
      <w:rPr>
        <w:rFonts w:ascii="宋体" w:hAnsi="宋体" w:eastAsia="宋体"/>
        <w:sz w:val="28"/>
      </w:rPr>
      <w:fldChar w:fldCharType="separate"/>
    </w:r>
    <w:r>
      <w:rPr>
        <w:rFonts w:ascii="宋体" w:hAnsi="宋体" w:eastAsia="宋体"/>
        <w:sz w:val="28"/>
      </w:rPr>
      <w:t>6</w:t>
    </w:r>
    <w:r>
      <w:rPr>
        <w:rFonts w:ascii="宋体" w:hAnsi="宋体" w:eastAsia="宋体"/>
        <w:sz w:val="28"/>
      </w:rPr>
      <w:fldChar w:fldCharType="end"/>
    </w:r>
    <w:r>
      <w:rPr>
        <w:rFonts w:ascii="宋体" w:hAnsi="宋体" w:eastAsia="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宋体" w:hAnsi="宋体" w:eastAsia="宋体"/>
        <w:sz w:val="28"/>
        <w:szCs w:val="28"/>
      </w:rPr>
    </w:pP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B3C21"/>
    <w:multiLevelType w:val="singleLevel"/>
    <w:tmpl w:val="8D2B3C21"/>
    <w:lvl w:ilvl="0" w:tentative="0">
      <w:start w:val="1"/>
      <w:numFmt w:val="chineseCounting"/>
      <w:suff w:val="nothing"/>
      <w:lvlText w:val="%1、"/>
      <w:lvlJc w:val="left"/>
      <w:rPr>
        <w:rFonts w:hint="eastAsia"/>
      </w:rPr>
    </w:lvl>
  </w:abstractNum>
  <w:abstractNum w:abstractNumId="1">
    <w:nsid w:val="59F6D6B4"/>
    <w:multiLevelType w:val="singleLevel"/>
    <w:tmpl w:val="59F6D6B4"/>
    <w:lvl w:ilvl="0" w:tentative="0">
      <w:start w:val="1"/>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bordersDoNotSurroundHeader w:val="1"/>
  <w:bordersDoNotSurroundFooter w:val="1"/>
  <w:documentProtection w:enforcement="0"/>
  <w:defaultTabStop w:val="420"/>
  <w:evenAndOddHeaders w:val="1"/>
  <w:bookFoldPrinting w:val="1"/>
  <w:bookFoldPrintingSheets w:val="0"/>
  <w:drawingGridHorizontalSpacing w:val="158"/>
  <w:drawingGridVerticalSpacing w:val="579"/>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12C9"/>
    <w:rsid w:val="00013137"/>
    <w:rsid w:val="00013454"/>
    <w:rsid w:val="00017A2F"/>
    <w:rsid w:val="00026202"/>
    <w:rsid w:val="00035FB4"/>
    <w:rsid w:val="000464B1"/>
    <w:rsid w:val="00060DE0"/>
    <w:rsid w:val="00061E59"/>
    <w:rsid w:val="0007197F"/>
    <w:rsid w:val="000741E0"/>
    <w:rsid w:val="000756C1"/>
    <w:rsid w:val="000767D5"/>
    <w:rsid w:val="00081BCE"/>
    <w:rsid w:val="00091030"/>
    <w:rsid w:val="00095073"/>
    <w:rsid w:val="000A285D"/>
    <w:rsid w:val="000A5FE6"/>
    <w:rsid w:val="000B2078"/>
    <w:rsid w:val="000C0022"/>
    <w:rsid w:val="000C0424"/>
    <w:rsid w:val="000C4385"/>
    <w:rsid w:val="000C4BFA"/>
    <w:rsid w:val="000C7867"/>
    <w:rsid w:val="000E1F1D"/>
    <w:rsid w:val="000E7F65"/>
    <w:rsid w:val="000F10CA"/>
    <w:rsid w:val="001036B2"/>
    <w:rsid w:val="00120847"/>
    <w:rsid w:val="001209DB"/>
    <w:rsid w:val="00120AE1"/>
    <w:rsid w:val="00121CD6"/>
    <w:rsid w:val="00122966"/>
    <w:rsid w:val="001258F1"/>
    <w:rsid w:val="00130340"/>
    <w:rsid w:val="00140810"/>
    <w:rsid w:val="00142A72"/>
    <w:rsid w:val="00155DBE"/>
    <w:rsid w:val="00156BD9"/>
    <w:rsid w:val="00161F2A"/>
    <w:rsid w:val="0018458C"/>
    <w:rsid w:val="001A099A"/>
    <w:rsid w:val="001B5468"/>
    <w:rsid w:val="001C56CF"/>
    <w:rsid w:val="001C7E32"/>
    <w:rsid w:val="001D6DDD"/>
    <w:rsid w:val="001E12AC"/>
    <w:rsid w:val="001F3236"/>
    <w:rsid w:val="00224089"/>
    <w:rsid w:val="00246975"/>
    <w:rsid w:val="00253FCD"/>
    <w:rsid w:val="00263D3C"/>
    <w:rsid w:val="002652D1"/>
    <w:rsid w:val="00267A3D"/>
    <w:rsid w:val="00272CEF"/>
    <w:rsid w:val="0027431C"/>
    <w:rsid w:val="00294245"/>
    <w:rsid w:val="00295D6F"/>
    <w:rsid w:val="00297BAF"/>
    <w:rsid w:val="002A3BDC"/>
    <w:rsid w:val="002C6554"/>
    <w:rsid w:val="002D7C06"/>
    <w:rsid w:val="002E6F26"/>
    <w:rsid w:val="002F6B53"/>
    <w:rsid w:val="00311388"/>
    <w:rsid w:val="00333997"/>
    <w:rsid w:val="00335323"/>
    <w:rsid w:val="00347BD9"/>
    <w:rsid w:val="0035030B"/>
    <w:rsid w:val="00355AC4"/>
    <w:rsid w:val="00370FE0"/>
    <w:rsid w:val="00383C78"/>
    <w:rsid w:val="00385B4B"/>
    <w:rsid w:val="003A28E9"/>
    <w:rsid w:val="003B1E51"/>
    <w:rsid w:val="003B2E08"/>
    <w:rsid w:val="003F59BA"/>
    <w:rsid w:val="004138D2"/>
    <w:rsid w:val="00425F58"/>
    <w:rsid w:val="00433156"/>
    <w:rsid w:val="00437708"/>
    <w:rsid w:val="00442843"/>
    <w:rsid w:val="004461CC"/>
    <w:rsid w:val="00453DF4"/>
    <w:rsid w:val="00460875"/>
    <w:rsid w:val="00470218"/>
    <w:rsid w:val="00472148"/>
    <w:rsid w:val="00473C82"/>
    <w:rsid w:val="00476A4E"/>
    <w:rsid w:val="004771FC"/>
    <w:rsid w:val="004814E6"/>
    <w:rsid w:val="00484627"/>
    <w:rsid w:val="00491B29"/>
    <w:rsid w:val="00494CA6"/>
    <w:rsid w:val="004A1A45"/>
    <w:rsid w:val="004A6F6A"/>
    <w:rsid w:val="004B404C"/>
    <w:rsid w:val="004B5C2E"/>
    <w:rsid w:val="004C03CB"/>
    <w:rsid w:val="004C5952"/>
    <w:rsid w:val="004D0B5E"/>
    <w:rsid w:val="004E3103"/>
    <w:rsid w:val="004E7931"/>
    <w:rsid w:val="005152BC"/>
    <w:rsid w:val="00542901"/>
    <w:rsid w:val="00561052"/>
    <w:rsid w:val="005671B7"/>
    <w:rsid w:val="00567931"/>
    <w:rsid w:val="00570A0F"/>
    <w:rsid w:val="00575679"/>
    <w:rsid w:val="005806A5"/>
    <w:rsid w:val="00595544"/>
    <w:rsid w:val="005B503F"/>
    <w:rsid w:val="005B52D3"/>
    <w:rsid w:val="005C5C2A"/>
    <w:rsid w:val="005D09C6"/>
    <w:rsid w:val="005D219A"/>
    <w:rsid w:val="005D5A65"/>
    <w:rsid w:val="005F0DFF"/>
    <w:rsid w:val="005F1771"/>
    <w:rsid w:val="005F4340"/>
    <w:rsid w:val="005F773F"/>
    <w:rsid w:val="00602056"/>
    <w:rsid w:val="00602608"/>
    <w:rsid w:val="0060374F"/>
    <w:rsid w:val="006134C4"/>
    <w:rsid w:val="00633D04"/>
    <w:rsid w:val="00651CAD"/>
    <w:rsid w:val="00657313"/>
    <w:rsid w:val="00677A0B"/>
    <w:rsid w:val="0069569B"/>
    <w:rsid w:val="00695B39"/>
    <w:rsid w:val="006A0206"/>
    <w:rsid w:val="006C2B0C"/>
    <w:rsid w:val="006C2B4A"/>
    <w:rsid w:val="006D7324"/>
    <w:rsid w:val="00700A8E"/>
    <w:rsid w:val="0071140F"/>
    <w:rsid w:val="007141CA"/>
    <w:rsid w:val="00731711"/>
    <w:rsid w:val="00753F1A"/>
    <w:rsid w:val="007720EE"/>
    <w:rsid w:val="00772301"/>
    <w:rsid w:val="00794055"/>
    <w:rsid w:val="00797600"/>
    <w:rsid w:val="007B01F6"/>
    <w:rsid w:val="007B3743"/>
    <w:rsid w:val="00812ECB"/>
    <w:rsid w:val="008243DF"/>
    <w:rsid w:val="0083066A"/>
    <w:rsid w:val="0083548A"/>
    <w:rsid w:val="008409F8"/>
    <w:rsid w:val="008473B8"/>
    <w:rsid w:val="00860162"/>
    <w:rsid w:val="0087572B"/>
    <w:rsid w:val="008A3CBF"/>
    <w:rsid w:val="008A47EF"/>
    <w:rsid w:val="008C3ADA"/>
    <w:rsid w:val="008C79E6"/>
    <w:rsid w:val="008D6B31"/>
    <w:rsid w:val="008D6F66"/>
    <w:rsid w:val="008E1437"/>
    <w:rsid w:val="008E2552"/>
    <w:rsid w:val="008E4917"/>
    <w:rsid w:val="008F6389"/>
    <w:rsid w:val="008F7FBF"/>
    <w:rsid w:val="009011DA"/>
    <w:rsid w:val="0090638D"/>
    <w:rsid w:val="00911273"/>
    <w:rsid w:val="009211C2"/>
    <w:rsid w:val="009417B8"/>
    <w:rsid w:val="00944A9F"/>
    <w:rsid w:val="00946F39"/>
    <w:rsid w:val="009474AA"/>
    <w:rsid w:val="00950411"/>
    <w:rsid w:val="0095305B"/>
    <w:rsid w:val="00961EEC"/>
    <w:rsid w:val="00965AFF"/>
    <w:rsid w:val="00971216"/>
    <w:rsid w:val="0097136C"/>
    <w:rsid w:val="0098100E"/>
    <w:rsid w:val="0098128C"/>
    <w:rsid w:val="0098668D"/>
    <w:rsid w:val="00990237"/>
    <w:rsid w:val="009B2104"/>
    <w:rsid w:val="009C0736"/>
    <w:rsid w:val="009C1436"/>
    <w:rsid w:val="009C3C21"/>
    <w:rsid w:val="009D665E"/>
    <w:rsid w:val="009D7C24"/>
    <w:rsid w:val="009F2791"/>
    <w:rsid w:val="009F290B"/>
    <w:rsid w:val="009F3240"/>
    <w:rsid w:val="009F3E88"/>
    <w:rsid w:val="00A01884"/>
    <w:rsid w:val="00A04FA8"/>
    <w:rsid w:val="00A10E03"/>
    <w:rsid w:val="00A26C34"/>
    <w:rsid w:val="00A342D7"/>
    <w:rsid w:val="00A413C4"/>
    <w:rsid w:val="00A41843"/>
    <w:rsid w:val="00A44102"/>
    <w:rsid w:val="00A600BC"/>
    <w:rsid w:val="00A62A3E"/>
    <w:rsid w:val="00A66E1B"/>
    <w:rsid w:val="00A73780"/>
    <w:rsid w:val="00A84AC9"/>
    <w:rsid w:val="00A854C3"/>
    <w:rsid w:val="00A859F6"/>
    <w:rsid w:val="00A86C48"/>
    <w:rsid w:val="00AA3359"/>
    <w:rsid w:val="00AB674D"/>
    <w:rsid w:val="00AC3FFC"/>
    <w:rsid w:val="00AC4DD6"/>
    <w:rsid w:val="00AE130E"/>
    <w:rsid w:val="00B0223C"/>
    <w:rsid w:val="00B02E93"/>
    <w:rsid w:val="00B26EF5"/>
    <w:rsid w:val="00B42410"/>
    <w:rsid w:val="00B43A6A"/>
    <w:rsid w:val="00B458E0"/>
    <w:rsid w:val="00B6201A"/>
    <w:rsid w:val="00B67663"/>
    <w:rsid w:val="00B734CF"/>
    <w:rsid w:val="00B80839"/>
    <w:rsid w:val="00B842AC"/>
    <w:rsid w:val="00B97438"/>
    <w:rsid w:val="00BC0FF2"/>
    <w:rsid w:val="00BD1812"/>
    <w:rsid w:val="00BE5559"/>
    <w:rsid w:val="00BF5A80"/>
    <w:rsid w:val="00C00AF7"/>
    <w:rsid w:val="00C02337"/>
    <w:rsid w:val="00C07B7F"/>
    <w:rsid w:val="00C07F02"/>
    <w:rsid w:val="00C10716"/>
    <w:rsid w:val="00C12B40"/>
    <w:rsid w:val="00C12D94"/>
    <w:rsid w:val="00C3184D"/>
    <w:rsid w:val="00C349F7"/>
    <w:rsid w:val="00C4119E"/>
    <w:rsid w:val="00C5501C"/>
    <w:rsid w:val="00C60C5C"/>
    <w:rsid w:val="00C62806"/>
    <w:rsid w:val="00C656DF"/>
    <w:rsid w:val="00C72048"/>
    <w:rsid w:val="00C74062"/>
    <w:rsid w:val="00C74219"/>
    <w:rsid w:val="00C75E74"/>
    <w:rsid w:val="00C80C81"/>
    <w:rsid w:val="00C903E4"/>
    <w:rsid w:val="00C961B5"/>
    <w:rsid w:val="00CA77BE"/>
    <w:rsid w:val="00CA7E52"/>
    <w:rsid w:val="00CB199C"/>
    <w:rsid w:val="00CC122D"/>
    <w:rsid w:val="00CC3257"/>
    <w:rsid w:val="00CC49C3"/>
    <w:rsid w:val="00CE025C"/>
    <w:rsid w:val="00D04933"/>
    <w:rsid w:val="00D118B6"/>
    <w:rsid w:val="00D141D2"/>
    <w:rsid w:val="00D201FB"/>
    <w:rsid w:val="00D24CED"/>
    <w:rsid w:val="00D313D9"/>
    <w:rsid w:val="00D32848"/>
    <w:rsid w:val="00D34823"/>
    <w:rsid w:val="00D655A8"/>
    <w:rsid w:val="00D67705"/>
    <w:rsid w:val="00D73C34"/>
    <w:rsid w:val="00D83D41"/>
    <w:rsid w:val="00D849FB"/>
    <w:rsid w:val="00D87ADF"/>
    <w:rsid w:val="00D87CE3"/>
    <w:rsid w:val="00D93346"/>
    <w:rsid w:val="00DB4B9F"/>
    <w:rsid w:val="00DC1201"/>
    <w:rsid w:val="00DF380E"/>
    <w:rsid w:val="00E00741"/>
    <w:rsid w:val="00E0100A"/>
    <w:rsid w:val="00E06039"/>
    <w:rsid w:val="00E104D2"/>
    <w:rsid w:val="00E146E6"/>
    <w:rsid w:val="00E17596"/>
    <w:rsid w:val="00E20DFC"/>
    <w:rsid w:val="00E2572B"/>
    <w:rsid w:val="00E26151"/>
    <w:rsid w:val="00E31527"/>
    <w:rsid w:val="00E4559B"/>
    <w:rsid w:val="00E57039"/>
    <w:rsid w:val="00E70CA3"/>
    <w:rsid w:val="00E755F5"/>
    <w:rsid w:val="00E850C2"/>
    <w:rsid w:val="00E964C3"/>
    <w:rsid w:val="00EA6E26"/>
    <w:rsid w:val="00EB4259"/>
    <w:rsid w:val="00EB5C70"/>
    <w:rsid w:val="00EC0658"/>
    <w:rsid w:val="00ED24E5"/>
    <w:rsid w:val="00EE0630"/>
    <w:rsid w:val="00EE2211"/>
    <w:rsid w:val="00EF5E68"/>
    <w:rsid w:val="00EF604D"/>
    <w:rsid w:val="00F00A4B"/>
    <w:rsid w:val="00F039CC"/>
    <w:rsid w:val="00F03CA1"/>
    <w:rsid w:val="00F16871"/>
    <w:rsid w:val="00F23C27"/>
    <w:rsid w:val="00F343A8"/>
    <w:rsid w:val="00F4378D"/>
    <w:rsid w:val="00F4733D"/>
    <w:rsid w:val="00F6555E"/>
    <w:rsid w:val="00F705C5"/>
    <w:rsid w:val="00F84477"/>
    <w:rsid w:val="00F87E89"/>
    <w:rsid w:val="00FA12C9"/>
    <w:rsid w:val="00FA192A"/>
    <w:rsid w:val="00FA1B64"/>
    <w:rsid w:val="00FB5ECE"/>
    <w:rsid w:val="00FB72C7"/>
    <w:rsid w:val="00FD2475"/>
    <w:rsid w:val="00FD3AE4"/>
    <w:rsid w:val="00FF103C"/>
    <w:rsid w:val="00FF7BB2"/>
    <w:rsid w:val="06200C95"/>
    <w:rsid w:val="1FA32782"/>
    <w:rsid w:val="3CF16ABC"/>
    <w:rsid w:val="46312603"/>
    <w:rsid w:val="4BF50097"/>
    <w:rsid w:val="5E8861FA"/>
    <w:rsid w:val="6DA938EC"/>
    <w:rsid w:val="75A063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Mongolian Bait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简体" w:cs="Mongolian Baiti"/>
      <w:kern w:val="2"/>
      <w:sz w:val="32"/>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2"/>
    <w:semiHidden/>
    <w:unhideWhenUsed/>
    <w:uiPriority w:val="99"/>
    <w:pPr>
      <w:ind w:left="100" w:leftChars="2500"/>
    </w:pPr>
  </w:style>
  <w:style w:type="paragraph" w:styleId="3">
    <w:name w:val="Balloon Text"/>
    <w:basedOn w:val="1"/>
    <w:link w:val="11"/>
    <w:semiHidden/>
    <w:unhideWhenUsed/>
    <w:uiPriority w:val="99"/>
    <w:rPr>
      <w:sz w:val="18"/>
      <w:szCs w:val="18"/>
    </w:rPr>
  </w:style>
  <w:style w:type="paragraph" w:styleId="4">
    <w:name w:val="footer"/>
    <w:basedOn w:val="1"/>
    <w:link w:val="10"/>
    <w:unhideWhenUsed/>
    <w:uiPriority w:val="99"/>
    <w:pPr>
      <w:tabs>
        <w:tab w:val="center" w:pos="4153"/>
        <w:tab w:val="right" w:pos="8306"/>
      </w:tabs>
      <w:snapToGrid w:val="0"/>
      <w:jc w:val="left"/>
    </w:pPr>
    <w:rPr>
      <w:sz w:val="18"/>
      <w:szCs w:val="18"/>
    </w:rPr>
  </w:style>
  <w:style w:type="paragraph" w:styleId="5">
    <w:name w:val="header"/>
    <w:basedOn w:val="1"/>
    <w:link w:val="9"/>
    <w:unhideWhenUsed/>
    <w:uiPriority w:val="99"/>
    <w:pPr>
      <w:tabs>
        <w:tab w:val="center" w:pos="4153"/>
        <w:tab w:val="right" w:pos="8306"/>
      </w:tabs>
      <w:snapToGrid w:val="0"/>
      <w:jc w:val="center"/>
    </w:pPr>
    <w:rPr>
      <w:sz w:val="18"/>
      <w:szCs w:val="18"/>
    </w:r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customStyle="1" w:styleId="9">
    <w:name w:val="页眉 字符"/>
    <w:link w:val="5"/>
    <w:uiPriority w:val="99"/>
    <w:rPr>
      <w:rFonts w:ascii="Times New Roman" w:hAnsi="Times New Roman" w:eastAsia="方正仿宋简体"/>
      <w:kern w:val="2"/>
      <w:sz w:val="18"/>
      <w:szCs w:val="18"/>
    </w:rPr>
  </w:style>
  <w:style w:type="character" w:customStyle="1" w:styleId="10">
    <w:name w:val="页脚 字符"/>
    <w:link w:val="4"/>
    <w:uiPriority w:val="99"/>
    <w:rPr>
      <w:rFonts w:ascii="Times New Roman" w:hAnsi="Times New Roman" w:eastAsia="仿宋_GB2312"/>
      <w:sz w:val="18"/>
      <w:szCs w:val="18"/>
    </w:rPr>
  </w:style>
  <w:style w:type="character" w:customStyle="1" w:styleId="11">
    <w:name w:val="批注框文本 字符"/>
    <w:link w:val="3"/>
    <w:semiHidden/>
    <w:uiPriority w:val="99"/>
    <w:rPr>
      <w:rFonts w:ascii="Times New Roman" w:hAnsi="Times New Roman" w:eastAsia="方正仿宋简体"/>
      <w:kern w:val="2"/>
      <w:sz w:val="18"/>
      <w:szCs w:val="18"/>
    </w:rPr>
  </w:style>
  <w:style w:type="character" w:customStyle="1" w:styleId="12">
    <w:name w:val="日期 字符"/>
    <w:link w:val="2"/>
    <w:semiHidden/>
    <w:uiPriority w:val="99"/>
    <w:rPr>
      <w:rFonts w:ascii="Times New Roman" w:hAnsi="Times New Roman" w:eastAsia="方正仿宋简体"/>
      <w:kern w:val="2"/>
      <w:sz w:val="32"/>
      <w:szCs w:val="22"/>
    </w:rPr>
  </w:style>
  <w:style w:type="character" w:customStyle="1" w:styleId="13">
    <w:name w:val="Unresolved Mention"/>
    <w:basedOn w:val="7"/>
    <w:semiHidden/>
    <w:unhideWhenUsed/>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85F7AB-D962-444D-BA42-E35558CA9976}">
  <ds:schemaRefs/>
</ds:datastoreItem>
</file>

<file path=docProps/app.xml><?xml version="1.0" encoding="utf-8"?>
<Properties xmlns="http://schemas.openxmlformats.org/officeDocument/2006/extended-properties" xmlns:vt="http://schemas.openxmlformats.org/officeDocument/2006/docPropsVTypes">
  <Template>Normal.dotm</Template>
  <Pages>6</Pages>
  <Words>1670</Words>
  <Characters>1770</Characters>
  <Lines>13</Lines>
  <Paragraphs>3</Paragraphs>
  <TotalTime>27</TotalTime>
  <ScaleCrop>false</ScaleCrop>
  <LinksUpToDate>false</LinksUpToDate>
  <CharactersWithSpaces>1804</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2020-12-02T03:09:00Z</dcterms:created>
  <dc:creator>阿杜</dc:creator>
  <cp:lastModifiedBy>Administrator</cp:lastModifiedBy>
  <cp:lastPrinted>2020-12-02T03:09:00Z</cp:lastPrinted>
  <dcterms:modified xsi:type="dcterms:W3CDTF">2020-12-03T01:25:03Z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